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C8" w:rsidRDefault="006516C8" w:rsidP="006516C8">
      <w:pPr>
        <w:jc w:val="center"/>
        <w:rPr>
          <w:rFonts w:ascii="Futura" w:hAnsi="Futura"/>
        </w:rPr>
      </w:pPr>
      <w:r>
        <w:rPr>
          <w:rFonts w:ascii="Futura" w:hAnsi="Futura"/>
        </w:rPr>
        <w:t>The Land Bank of Indianapolis</w:t>
      </w:r>
    </w:p>
    <w:p w:rsidR="006516C8" w:rsidRDefault="006516C8" w:rsidP="00EB301C">
      <w:pPr>
        <w:jc w:val="center"/>
        <w:rPr>
          <w:rFonts w:ascii="Futura" w:hAnsi="Futura"/>
        </w:rPr>
      </w:pPr>
      <w:r>
        <w:rPr>
          <w:rFonts w:ascii="Futura" w:hAnsi="Futura"/>
        </w:rPr>
        <w:t xml:space="preserve">Summary of Proposed </w:t>
      </w:r>
      <w:r w:rsidR="00630D5C">
        <w:rPr>
          <w:rFonts w:ascii="Futura" w:hAnsi="Futura"/>
        </w:rPr>
        <w:t xml:space="preserve">Land Banking </w:t>
      </w:r>
      <w:r>
        <w:rPr>
          <w:rFonts w:ascii="Futura" w:hAnsi="Futura"/>
        </w:rPr>
        <w:t>Activities 2011 – 2012</w:t>
      </w:r>
    </w:p>
    <w:p w:rsidR="006516C8" w:rsidRPr="006516C8" w:rsidRDefault="00630D5C" w:rsidP="006516C8">
      <w:pPr>
        <w:jc w:val="center"/>
        <w:rPr>
          <w:rFonts w:ascii="Futura" w:hAnsi="Futura"/>
          <w:sz w:val="20"/>
        </w:rPr>
      </w:pPr>
      <w:r>
        <w:rPr>
          <w:rFonts w:ascii="Futura" w:hAnsi="Futura"/>
          <w:sz w:val="20"/>
        </w:rPr>
        <w:t>4 November</w:t>
      </w:r>
      <w:r w:rsidR="006516C8" w:rsidRPr="006516C8">
        <w:rPr>
          <w:rFonts w:ascii="Futura" w:hAnsi="Futura"/>
          <w:sz w:val="20"/>
        </w:rPr>
        <w:t xml:space="preserve"> 2010</w:t>
      </w:r>
    </w:p>
    <w:p w:rsidR="006516C8" w:rsidRPr="0007774D" w:rsidRDefault="006516C8">
      <w:pPr>
        <w:rPr>
          <w:rFonts w:ascii="Abadi MT Condensed Light" w:hAnsi="Abadi MT Condensed Light"/>
          <w:sz w:val="16"/>
        </w:rPr>
      </w:pPr>
    </w:p>
    <w:p w:rsidR="006516C8" w:rsidRPr="0007774D" w:rsidRDefault="00AC212A" w:rsidP="006516C8">
      <w:pPr>
        <w:rPr>
          <w:rFonts w:ascii="Arial Narrow" w:hAnsi="Arial Narrow"/>
          <w:sz w:val="16"/>
        </w:rPr>
      </w:pPr>
      <w:r>
        <w:rPr>
          <w:rFonts w:ascii="Arial Narrow" w:hAnsi="Arial Narrow"/>
          <w:noProof/>
          <w:sz w:val="1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wp:posOffset>
                </wp:positionV>
                <wp:extent cx="9372600" cy="0"/>
                <wp:effectExtent l="9525" t="13335" r="9525" b="15240"/>
                <wp:wrapTight wrapText="bothSides">
                  <wp:wrapPolygon edited="0">
                    <wp:start x="-20" y="-2147483648"/>
                    <wp:lineTo x="0" y="-2147483648"/>
                    <wp:lineTo x="10820" y="-2147483648"/>
                    <wp:lineTo x="10820" y="-2147483648"/>
                    <wp:lineTo x="21578" y="-2147483648"/>
                    <wp:lineTo x="21642" y="-2147483648"/>
                    <wp:lineTo x="-2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0" cy="0"/>
                        </a:xfrm>
                        <a:prstGeom prst="line">
                          <a:avLst/>
                        </a:prstGeom>
                        <a:noFill/>
                        <a:ln w="12700">
                          <a:solidFill>
                            <a:schemeClr val="accent5">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73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" strokecolor="#205867 [1608]" strokeweight="1pt">
                <v:fill o:detectmouseclick="t"/>
                <v:shadow opacity="22938f" offset="0"/>
                <w10:wrap type="tight"/>
              </v:line>
            </w:pict>
          </mc:Fallback>
        </mc:AlternateContent>
      </w:r>
    </w:p>
    <w:p w:rsidR="006516C8" w:rsidRPr="00630D5C" w:rsidRDefault="006516C8" w:rsidP="006516C8">
      <w:pPr>
        <w:pStyle w:val="ListParagraph"/>
        <w:numPr>
          <w:ilvl w:val="0"/>
          <w:numId w:val="1"/>
        </w:numPr>
        <w:rPr>
          <w:rFonts w:ascii="Arial Narrow" w:hAnsi="Arial Narrow"/>
          <w:sz w:val="22"/>
        </w:rPr>
      </w:pPr>
      <w:r w:rsidRPr="00630D5C">
        <w:rPr>
          <w:rFonts w:ascii="Arial Narrow" w:hAnsi="Arial Narrow"/>
          <w:sz w:val="22"/>
        </w:rPr>
        <w:t xml:space="preserve">Through a contractual relationship with the City of Indianapolis (i.e., Indy Land Bank/MDC, Treasurer’s Office, DPW) made possible through Indiana statutes, the Land Bank of Indianapolis </w:t>
      </w:r>
      <w:r w:rsidR="00627D43" w:rsidRPr="00630D5C">
        <w:rPr>
          <w:rFonts w:ascii="Arial Narrow" w:hAnsi="Arial Narrow"/>
          <w:sz w:val="22"/>
        </w:rPr>
        <w:t xml:space="preserve">(LBI) </w:t>
      </w:r>
      <w:r w:rsidRPr="00630D5C">
        <w:rPr>
          <w:rFonts w:ascii="Arial Narrow" w:hAnsi="Arial Narrow"/>
          <w:sz w:val="22"/>
        </w:rPr>
        <w:t xml:space="preserve">will </w:t>
      </w:r>
      <w:r w:rsidRPr="00630D5C">
        <w:rPr>
          <w:rFonts w:ascii="Arial Narrow" w:hAnsi="Arial Narrow"/>
          <w:b/>
          <w:sz w:val="22"/>
        </w:rPr>
        <w:t>address immediate and seri</w:t>
      </w:r>
      <w:r w:rsidR="00DC4B22" w:rsidRPr="00630D5C">
        <w:rPr>
          <w:rFonts w:ascii="Arial Narrow" w:hAnsi="Arial Narrow"/>
          <w:b/>
          <w:sz w:val="22"/>
        </w:rPr>
        <w:t>ous capacity challenges related</w:t>
      </w:r>
      <w:r w:rsidRPr="00630D5C">
        <w:rPr>
          <w:rFonts w:ascii="Arial Narrow" w:hAnsi="Arial Narrow"/>
          <w:b/>
          <w:sz w:val="22"/>
        </w:rPr>
        <w:t xml:space="preserve"> to the identification, examination, classification, management, and disposition of f</w:t>
      </w:r>
      <w:r w:rsidR="00EB301C" w:rsidRPr="00630D5C">
        <w:rPr>
          <w:rFonts w:ascii="Arial Narrow" w:hAnsi="Arial Narrow"/>
          <w:b/>
          <w:sz w:val="22"/>
        </w:rPr>
        <w:t>ive</w:t>
      </w:r>
      <w:r w:rsidRPr="00630D5C">
        <w:rPr>
          <w:rFonts w:ascii="Arial Narrow" w:hAnsi="Arial Narrow"/>
          <w:b/>
          <w:sz w:val="22"/>
        </w:rPr>
        <w:t xml:space="preserve"> sets of property</w:t>
      </w:r>
      <w:r w:rsidRPr="00630D5C">
        <w:rPr>
          <w:rFonts w:ascii="Arial Narrow" w:hAnsi="Arial Narrow"/>
          <w:sz w:val="22"/>
        </w:rPr>
        <w:t>:</w:t>
      </w:r>
    </w:p>
    <w:p w:rsidR="006658F5" w:rsidRPr="00FD164E" w:rsidRDefault="006658F5" w:rsidP="00FD164E">
      <w:pPr>
        <w:rPr>
          <w:rFonts w:ascii="Arial Narrow" w:hAnsi="Arial Narrow"/>
        </w:rPr>
      </w:pPr>
    </w:p>
    <w:tbl>
      <w:tblPr>
        <w:tblStyle w:val="TableGrid"/>
        <w:tblW w:w="0" w:type="auto"/>
        <w:tblInd w:w="648" w:type="dxa"/>
        <w:tblLook w:val="00BF" w:firstRow="1" w:lastRow="0" w:firstColumn="1" w:lastColumn="0" w:noHBand="0" w:noVBand="0"/>
      </w:tblPr>
      <w:tblGrid>
        <w:gridCol w:w="459"/>
        <w:gridCol w:w="6831"/>
        <w:gridCol w:w="2430"/>
        <w:gridCol w:w="3960"/>
      </w:tblGrid>
      <w:tr w:rsidR="006658F5" w:rsidRPr="000423FA">
        <w:tc>
          <w:tcPr>
            <w:tcW w:w="459" w:type="dxa"/>
            <w:tcBorders>
              <w:top w:val="nil"/>
              <w:left w:val="nil"/>
              <w:bottom w:val="nil"/>
              <w:right w:val="nil"/>
            </w:tcBorders>
            <w:shd w:val="clear" w:color="auto" w:fill="215868" w:themeFill="accent5" w:themeFillShade="80"/>
            <w:vAlign w:val="bottom"/>
          </w:tcPr>
          <w:p w:rsidR="006658F5" w:rsidRPr="00DC4B22" w:rsidRDefault="00DC4B22" w:rsidP="006658F5">
            <w:pPr>
              <w:pStyle w:val="ListParagraph"/>
              <w:ind w:left="0"/>
              <w:jc w:val="center"/>
              <w:rPr>
                <w:rFonts w:ascii="Arial Narrow" w:hAnsi="Arial Narrow"/>
                <w:b/>
                <w:smallCaps/>
                <w:color w:val="FFFFFF" w:themeColor="background1"/>
              </w:rPr>
            </w:pPr>
            <w:r w:rsidRPr="00DC4B22">
              <w:rPr>
                <w:rFonts w:ascii="Arial Narrow" w:hAnsi="Arial Narrow"/>
                <w:b/>
                <w:smallCaps/>
                <w:color w:val="FFFFFF" w:themeColor="background1"/>
              </w:rPr>
              <w:t>no</w:t>
            </w:r>
            <w:r w:rsidR="006658F5" w:rsidRPr="00DC4B22">
              <w:rPr>
                <w:rFonts w:ascii="Arial Narrow" w:hAnsi="Arial Narrow"/>
                <w:b/>
                <w:smallCaps/>
                <w:color w:val="FFFFFF" w:themeColor="background1"/>
              </w:rPr>
              <w:t>.</w:t>
            </w:r>
          </w:p>
        </w:tc>
        <w:tc>
          <w:tcPr>
            <w:tcW w:w="6831" w:type="dxa"/>
            <w:tcBorders>
              <w:top w:val="nil"/>
              <w:left w:val="nil"/>
              <w:bottom w:val="nil"/>
              <w:right w:val="nil"/>
            </w:tcBorders>
            <w:shd w:val="clear" w:color="auto" w:fill="215868" w:themeFill="accent5" w:themeFillShade="80"/>
            <w:vAlign w:val="bottom"/>
          </w:tcPr>
          <w:p w:rsidR="006658F5" w:rsidRPr="00DC4B22" w:rsidRDefault="006658F5" w:rsidP="006658F5">
            <w:pPr>
              <w:pStyle w:val="ListParagraph"/>
              <w:ind w:left="0"/>
              <w:jc w:val="center"/>
              <w:rPr>
                <w:rFonts w:ascii="Arial Narrow" w:hAnsi="Arial Narrow"/>
                <w:b/>
                <w:smallCaps/>
                <w:color w:val="FFFFFF" w:themeColor="background1"/>
              </w:rPr>
            </w:pPr>
            <w:r w:rsidRPr="00DC4B22">
              <w:rPr>
                <w:rFonts w:ascii="Arial Narrow" w:hAnsi="Arial Narrow"/>
                <w:b/>
                <w:smallCaps/>
                <w:color w:val="FFFFFF" w:themeColor="background1"/>
              </w:rPr>
              <w:t>property category</w:t>
            </w:r>
          </w:p>
        </w:tc>
        <w:tc>
          <w:tcPr>
            <w:tcW w:w="2430" w:type="dxa"/>
            <w:tcBorders>
              <w:top w:val="nil"/>
              <w:left w:val="nil"/>
              <w:bottom w:val="nil"/>
              <w:right w:val="nil"/>
            </w:tcBorders>
            <w:shd w:val="clear" w:color="auto" w:fill="215868" w:themeFill="accent5" w:themeFillShade="80"/>
            <w:vAlign w:val="bottom"/>
          </w:tcPr>
          <w:p w:rsidR="006658F5" w:rsidRPr="00DC4B22" w:rsidRDefault="00EB301C" w:rsidP="006658F5">
            <w:pPr>
              <w:pStyle w:val="ListParagraph"/>
              <w:ind w:left="0"/>
              <w:jc w:val="center"/>
              <w:rPr>
                <w:rFonts w:ascii="Arial Narrow" w:hAnsi="Arial Narrow"/>
                <w:b/>
                <w:smallCaps/>
                <w:color w:val="FFFFFF" w:themeColor="background1"/>
              </w:rPr>
            </w:pPr>
            <w:r>
              <w:rPr>
                <w:rFonts w:ascii="Arial Narrow" w:hAnsi="Arial Narrow"/>
                <w:b/>
                <w:smallCaps/>
                <w:color w:val="FFFFFF" w:themeColor="background1"/>
              </w:rPr>
              <w:t xml:space="preserve">approx. </w:t>
            </w:r>
            <w:r w:rsidR="006658F5" w:rsidRPr="00DC4B22">
              <w:rPr>
                <w:rFonts w:ascii="Arial Narrow" w:hAnsi="Arial Narrow"/>
                <w:b/>
                <w:smallCaps/>
                <w:color w:val="FFFFFF" w:themeColor="background1"/>
              </w:rPr>
              <w:t>no. of properties</w:t>
            </w:r>
          </w:p>
        </w:tc>
        <w:tc>
          <w:tcPr>
            <w:tcW w:w="3960" w:type="dxa"/>
            <w:tcBorders>
              <w:top w:val="nil"/>
              <w:left w:val="nil"/>
              <w:bottom w:val="nil"/>
              <w:right w:val="nil"/>
            </w:tcBorders>
            <w:shd w:val="clear" w:color="auto" w:fill="215868" w:themeFill="accent5" w:themeFillShade="80"/>
            <w:vAlign w:val="bottom"/>
          </w:tcPr>
          <w:p w:rsidR="006658F5" w:rsidRPr="00DC4B22" w:rsidRDefault="006658F5" w:rsidP="006658F5">
            <w:pPr>
              <w:pStyle w:val="ListParagraph"/>
              <w:ind w:left="0"/>
              <w:jc w:val="center"/>
              <w:rPr>
                <w:rFonts w:ascii="Arial Narrow" w:hAnsi="Arial Narrow"/>
                <w:b/>
                <w:smallCaps/>
                <w:color w:val="FFFFFF" w:themeColor="background1"/>
              </w:rPr>
            </w:pPr>
            <w:r w:rsidRPr="00DC4B22">
              <w:rPr>
                <w:rFonts w:ascii="Arial Narrow" w:hAnsi="Arial Narrow"/>
                <w:b/>
                <w:smallCaps/>
                <w:color w:val="FFFFFF" w:themeColor="background1"/>
              </w:rPr>
              <w:t>key challenges to be addressed by LBI</w:t>
            </w:r>
          </w:p>
        </w:tc>
      </w:tr>
      <w:tr w:rsidR="006658F5" w:rsidRPr="000423FA">
        <w:tc>
          <w:tcPr>
            <w:tcW w:w="459" w:type="dxa"/>
            <w:tcBorders>
              <w:top w:val="nil"/>
            </w:tcBorders>
            <w:vAlign w:val="bottom"/>
          </w:tcPr>
          <w:p w:rsidR="006658F5" w:rsidRPr="00286183" w:rsidRDefault="00C6533D" w:rsidP="006658F5">
            <w:pPr>
              <w:pStyle w:val="ListParagraph"/>
              <w:ind w:left="0"/>
              <w:jc w:val="center"/>
              <w:rPr>
                <w:rFonts w:ascii="Arial Narrow" w:hAnsi="Arial Narrow"/>
                <w:b/>
              </w:rPr>
            </w:pPr>
            <w:r w:rsidRPr="00286183">
              <w:rPr>
                <w:rFonts w:ascii="Arial Narrow" w:hAnsi="Arial Narrow"/>
                <w:b/>
              </w:rPr>
              <w:t>1</w:t>
            </w:r>
          </w:p>
        </w:tc>
        <w:tc>
          <w:tcPr>
            <w:tcW w:w="6831" w:type="dxa"/>
            <w:tcBorders>
              <w:top w:val="nil"/>
            </w:tcBorders>
            <w:vAlign w:val="bottom"/>
          </w:tcPr>
          <w:p w:rsidR="006658F5" w:rsidRDefault="006658F5" w:rsidP="006658F5">
            <w:pPr>
              <w:pStyle w:val="ListParagraph"/>
              <w:ind w:left="0"/>
              <w:rPr>
                <w:rFonts w:ascii="Arial Narrow" w:hAnsi="Arial Narrow"/>
              </w:rPr>
            </w:pPr>
            <w:r w:rsidRPr="00286183">
              <w:rPr>
                <w:rFonts w:ascii="Arial Narrow" w:hAnsi="Arial Narrow"/>
                <w:b/>
              </w:rPr>
              <w:t>Indy Land Bank properties</w:t>
            </w:r>
            <w:r w:rsidR="00D0041B">
              <w:rPr>
                <w:rFonts w:ascii="Arial Narrow" w:hAnsi="Arial Narrow"/>
                <w:b/>
              </w:rPr>
              <w:t xml:space="preserve"> </w:t>
            </w:r>
            <w:r w:rsidR="00D0041B" w:rsidRPr="00D0041B">
              <w:rPr>
                <w:rFonts w:ascii="Arial Narrow" w:hAnsi="Arial Narrow"/>
              </w:rPr>
              <w:t>(as of October 2010)</w:t>
            </w:r>
            <w:bookmarkStart w:id="0" w:name="_GoBack"/>
            <w:bookmarkEnd w:id="0"/>
          </w:p>
          <w:p w:rsidR="00906CB8" w:rsidRDefault="00906CB8" w:rsidP="006658F5">
            <w:pPr>
              <w:pStyle w:val="ListParagraph"/>
              <w:ind w:left="0"/>
              <w:rPr>
                <w:rFonts w:ascii="Arial Narrow" w:hAnsi="Arial Narrow"/>
              </w:rPr>
            </w:pPr>
          </w:p>
          <w:p w:rsidR="00906CB8" w:rsidRPr="00906CB8" w:rsidRDefault="00906CB8" w:rsidP="006658F5">
            <w:pPr>
              <w:pStyle w:val="ListParagraph"/>
              <w:ind w:left="0"/>
              <w:rPr>
                <w:rFonts w:ascii="Arial Narrow" w:hAnsi="Arial Narrow"/>
                <w:b/>
                <w:i/>
              </w:rPr>
            </w:pPr>
            <w:r w:rsidRPr="00906CB8">
              <w:rPr>
                <w:rFonts w:ascii="Arial Narrow" w:hAnsi="Arial Narrow"/>
                <w:i/>
                <w:highlight w:val="yellow"/>
              </w:rPr>
              <w:t>What sufficient authority is Indy Land Bank lacking?  Indy Land Bank as governmental entity seems to have more authority than non-profit Land Bank of Indianapolis?</w:t>
            </w:r>
          </w:p>
        </w:tc>
        <w:tc>
          <w:tcPr>
            <w:tcW w:w="2430" w:type="dxa"/>
            <w:tcBorders>
              <w:top w:val="nil"/>
            </w:tcBorders>
            <w:vAlign w:val="bottom"/>
          </w:tcPr>
          <w:p w:rsidR="006658F5" w:rsidRPr="00D0041B" w:rsidRDefault="006658F5" w:rsidP="00D0041B">
            <w:pPr>
              <w:pStyle w:val="ListParagraph"/>
              <w:ind w:left="0"/>
              <w:jc w:val="right"/>
              <w:rPr>
                <w:rFonts w:ascii="Arial Narrow" w:hAnsi="Arial Narrow"/>
                <w:b/>
              </w:rPr>
            </w:pPr>
            <w:r>
              <w:rPr>
                <w:rFonts w:ascii="Arial Narrow" w:hAnsi="Arial Narrow"/>
              </w:rPr>
              <w:t xml:space="preserve"> </w:t>
            </w:r>
            <w:r w:rsidRPr="00D0041B">
              <w:rPr>
                <w:rFonts w:ascii="Arial Narrow" w:hAnsi="Arial Narrow"/>
                <w:b/>
              </w:rPr>
              <w:t>1,</w:t>
            </w:r>
            <w:r w:rsidR="00DC34CA" w:rsidRPr="00D0041B">
              <w:rPr>
                <w:rFonts w:ascii="Arial Narrow" w:hAnsi="Arial Narrow"/>
                <w:b/>
              </w:rPr>
              <w:t>200</w:t>
            </w:r>
            <w:r w:rsidR="008C6F14" w:rsidRPr="00D0041B">
              <w:rPr>
                <w:rFonts w:ascii="Arial Narrow" w:hAnsi="Arial Narrow"/>
                <w:b/>
              </w:rPr>
              <w:t xml:space="preserve"> </w:t>
            </w:r>
          </w:p>
        </w:tc>
        <w:tc>
          <w:tcPr>
            <w:tcW w:w="3960" w:type="dxa"/>
            <w:tcBorders>
              <w:top w:val="nil"/>
            </w:tcBorders>
            <w:vAlign w:val="bottom"/>
          </w:tcPr>
          <w:p w:rsidR="006658F5" w:rsidRPr="000423FA" w:rsidRDefault="006658F5" w:rsidP="006658F5">
            <w:pPr>
              <w:pStyle w:val="ListParagraph"/>
              <w:ind w:left="0"/>
              <w:rPr>
                <w:rFonts w:ascii="Arial Narrow" w:hAnsi="Arial Narrow"/>
              </w:rPr>
            </w:pPr>
            <w:r>
              <w:rPr>
                <w:rFonts w:ascii="Arial Narrow" w:hAnsi="Arial Narrow"/>
              </w:rPr>
              <w:t xml:space="preserve">The Indy Land Bank program does not have the capacity to manage all of these properties.  It is a program of DMD </w:t>
            </w:r>
            <w:r w:rsidRPr="00906CB8">
              <w:rPr>
                <w:rFonts w:ascii="Arial Narrow" w:hAnsi="Arial Narrow"/>
                <w:highlight w:val="yellow"/>
              </w:rPr>
              <w:t>without sufficient authority</w:t>
            </w:r>
            <w:r>
              <w:rPr>
                <w:rFonts w:ascii="Arial Narrow" w:hAnsi="Arial Narrow"/>
              </w:rPr>
              <w:t xml:space="preserve"> or resources to carry out land banking functions on the scale necessary to truly deal with vacancy and abandonment in Marion County. Also, Indy Land Bank works well for neighborhoods served by a CDC but has no mechanism by which to work in neighborhoods that are not served by a CDC. </w:t>
            </w:r>
          </w:p>
        </w:tc>
      </w:tr>
      <w:tr w:rsidR="006658F5" w:rsidRPr="000423FA">
        <w:tc>
          <w:tcPr>
            <w:tcW w:w="459" w:type="dxa"/>
            <w:vAlign w:val="bottom"/>
          </w:tcPr>
          <w:p w:rsidR="006658F5" w:rsidRPr="00286183" w:rsidRDefault="00C6533D" w:rsidP="006658F5">
            <w:pPr>
              <w:pStyle w:val="ListParagraph"/>
              <w:ind w:left="0"/>
              <w:jc w:val="center"/>
              <w:rPr>
                <w:rFonts w:ascii="Arial Narrow" w:hAnsi="Arial Narrow"/>
                <w:b/>
              </w:rPr>
            </w:pPr>
            <w:r w:rsidRPr="00286183">
              <w:rPr>
                <w:rFonts w:ascii="Arial Narrow" w:hAnsi="Arial Narrow"/>
                <w:b/>
              </w:rPr>
              <w:t>2</w:t>
            </w:r>
          </w:p>
        </w:tc>
        <w:tc>
          <w:tcPr>
            <w:tcW w:w="6831" w:type="dxa"/>
            <w:vAlign w:val="bottom"/>
          </w:tcPr>
          <w:p w:rsidR="006658F5" w:rsidRPr="00286183" w:rsidRDefault="006658F5" w:rsidP="006658F5">
            <w:pPr>
              <w:pStyle w:val="ListParagraph"/>
              <w:ind w:left="0"/>
              <w:rPr>
                <w:rFonts w:ascii="Arial Narrow" w:hAnsi="Arial Narrow"/>
                <w:b/>
              </w:rPr>
            </w:pPr>
            <w:r w:rsidRPr="00286183">
              <w:rPr>
                <w:rFonts w:ascii="Arial Narrow" w:hAnsi="Arial Narrow"/>
                <w:b/>
              </w:rPr>
              <w:t>“Surplus” property tracked by the Treasurer’s Office</w:t>
            </w:r>
            <w:r w:rsidR="00D0041B">
              <w:rPr>
                <w:rFonts w:ascii="Arial Narrow" w:hAnsi="Arial Narrow"/>
                <w:b/>
              </w:rPr>
              <w:t xml:space="preserve"> </w:t>
            </w:r>
            <w:r w:rsidR="00D0041B" w:rsidRPr="00D0041B">
              <w:rPr>
                <w:rFonts w:ascii="Arial Narrow" w:hAnsi="Arial Narrow"/>
              </w:rPr>
              <w:t>(as of October 2010 tax sale)</w:t>
            </w:r>
          </w:p>
        </w:tc>
        <w:tc>
          <w:tcPr>
            <w:tcW w:w="2430" w:type="dxa"/>
            <w:vAlign w:val="bottom"/>
          </w:tcPr>
          <w:p w:rsidR="006658F5" w:rsidRPr="00D0041B" w:rsidRDefault="00A77CFC" w:rsidP="00D0041B">
            <w:pPr>
              <w:pStyle w:val="ListParagraph"/>
              <w:ind w:left="0"/>
              <w:jc w:val="right"/>
              <w:rPr>
                <w:rFonts w:ascii="Arial Narrow" w:hAnsi="Arial Narrow"/>
                <w:b/>
              </w:rPr>
            </w:pPr>
            <w:r w:rsidRPr="00D0041B">
              <w:rPr>
                <w:rFonts w:ascii="Arial Narrow" w:hAnsi="Arial Narrow"/>
                <w:b/>
              </w:rPr>
              <w:t>8</w:t>
            </w:r>
            <w:r w:rsidR="006658F5" w:rsidRPr="00D0041B">
              <w:rPr>
                <w:rFonts w:ascii="Arial Narrow" w:hAnsi="Arial Narrow"/>
                <w:b/>
              </w:rPr>
              <w:t>,</w:t>
            </w:r>
            <w:r w:rsidRPr="00D0041B">
              <w:rPr>
                <w:rFonts w:ascii="Arial Narrow" w:hAnsi="Arial Narrow"/>
                <w:b/>
              </w:rPr>
              <w:t>10</w:t>
            </w:r>
            <w:r w:rsidR="006658F5" w:rsidRPr="00D0041B">
              <w:rPr>
                <w:rFonts w:ascii="Arial Narrow" w:hAnsi="Arial Narrow"/>
                <w:b/>
              </w:rPr>
              <w:t xml:space="preserve">0 </w:t>
            </w:r>
          </w:p>
        </w:tc>
        <w:tc>
          <w:tcPr>
            <w:tcW w:w="3960" w:type="dxa"/>
            <w:vAlign w:val="bottom"/>
          </w:tcPr>
          <w:p w:rsidR="006658F5" w:rsidRPr="000423FA" w:rsidRDefault="008C6F14" w:rsidP="00627D43">
            <w:pPr>
              <w:pStyle w:val="ListParagraph"/>
              <w:ind w:left="0"/>
              <w:rPr>
                <w:rFonts w:ascii="Arial Narrow" w:hAnsi="Arial Narrow"/>
              </w:rPr>
            </w:pPr>
            <w:r>
              <w:rPr>
                <w:rFonts w:ascii="Arial Narrow" w:hAnsi="Arial Narrow"/>
              </w:rPr>
              <w:t>The Treasurer’s Office has requested help from LBI</w:t>
            </w:r>
            <w:r w:rsidR="0007774D">
              <w:rPr>
                <w:rFonts w:ascii="Arial Narrow" w:hAnsi="Arial Narrow"/>
              </w:rPr>
              <w:t xml:space="preserve"> to analyze, categorize, and make strategic recommendations regarding disposition of </w:t>
            </w:r>
            <w:r w:rsidR="00627D43">
              <w:rPr>
                <w:rFonts w:ascii="Arial Narrow" w:hAnsi="Arial Narrow"/>
              </w:rPr>
              <w:t>“surplus”</w:t>
            </w:r>
            <w:r w:rsidR="0007774D">
              <w:rPr>
                <w:rFonts w:ascii="Arial Narrow" w:hAnsi="Arial Narrow"/>
              </w:rPr>
              <w:t xml:space="preserve"> properties. No </w:t>
            </w:r>
            <w:r>
              <w:rPr>
                <w:rFonts w:ascii="Arial Narrow" w:hAnsi="Arial Narrow"/>
              </w:rPr>
              <w:t>entity</w:t>
            </w:r>
            <w:r w:rsidR="00286183">
              <w:rPr>
                <w:rFonts w:ascii="Arial Narrow" w:hAnsi="Arial Narrow"/>
              </w:rPr>
              <w:t xml:space="preserve"> currentl</w:t>
            </w:r>
            <w:r>
              <w:rPr>
                <w:rFonts w:ascii="Arial Narrow" w:hAnsi="Arial Narrow"/>
              </w:rPr>
              <w:t>y</w:t>
            </w:r>
            <w:r w:rsidR="006658F5">
              <w:rPr>
                <w:rFonts w:ascii="Arial Narrow" w:hAnsi="Arial Narrow"/>
              </w:rPr>
              <w:t xml:space="preserve"> takes control of </w:t>
            </w:r>
            <w:r w:rsidR="00627D43">
              <w:rPr>
                <w:rFonts w:ascii="Arial Narrow" w:hAnsi="Arial Narrow"/>
              </w:rPr>
              <w:t>“surplus”</w:t>
            </w:r>
            <w:r w:rsidR="006658F5">
              <w:rPr>
                <w:rFonts w:ascii="Arial Narrow" w:hAnsi="Arial Narrow"/>
              </w:rPr>
              <w:t xml:space="preserve"> properties</w:t>
            </w:r>
            <w:r w:rsidR="0007774D">
              <w:rPr>
                <w:rFonts w:ascii="Arial Narrow" w:hAnsi="Arial Narrow"/>
              </w:rPr>
              <w:t>, and there is n</w:t>
            </w:r>
            <w:r w:rsidR="006658F5">
              <w:rPr>
                <w:rFonts w:ascii="Arial Narrow" w:hAnsi="Arial Narrow"/>
              </w:rPr>
              <w:t>o longer term strategy for what to do with them.</w:t>
            </w:r>
            <w:r w:rsidR="0007774D">
              <w:rPr>
                <w:rFonts w:ascii="Arial Narrow" w:hAnsi="Arial Narrow"/>
              </w:rPr>
              <w:t xml:space="preserve"> </w:t>
            </w:r>
          </w:p>
        </w:tc>
      </w:tr>
      <w:tr w:rsidR="006658F5" w:rsidRPr="000423FA">
        <w:tc>
          <w:tcPr>
            <w:tcW w:w="459" w:type="dxa"/>
            <w:vAlign w:val="bottom"/>
          </w:tcPr>
          <w:p w:rsidR="006658F5" w:rsidRPr="00286183" w:rsidRDefault="00C6533D" w:rsidP="006658F5">
            <w:pPr>
              <w:pStyle w:val="ListParagraph"/>
              <w:ind w:left="0"/>
              <w:jc w:val="center"/>
              <w:rPr>
                <w:rFonts w:ascii="Arial Narrow" w:hAnsi="Arial Narrow"/>
                <w:b/>
              </w:rPr>
            </w:pPr>
            <w:r w:rsidRPr="00286183">
              <w:rPr>
                <w:rFonts w:ascii="Arial Narrow" w:hAnsi="Arial Narrow"/>
                <w:b/>
              </w:rPr>
              <w:t>3</w:t>
            </w:r>
          </w:p>
        </w:tc>
        <w:tc>
          <w:tcPr>
            <w:tcW w:w="6831" w:type="dxa"/>
            <w:vAlign w:val="bottom"/>
          </w:tcPr>
          <w:p w:rsidR="006658F5" w:rsidRDefault="006658F5" w:rsidP="00034788">
            <w:pPr>
              <w:pStyle w:val="ListParagraph"/>
              <w:ind w:left="0"/>
              <w:rPr>
                <w:rFonts w:ascii="Arial Narrow" w:hAnsi="Arial Narrow"/>
              </w:rPr>
            </w:pPr>
            <w:r w:rsidRPr="00286183">
              <w:rPr>
                <w:rFonts w:ascii="Arial Narrow" w:hAnsi="Arial Narrow"/>
                <w:b/>
              </w:rPr>
              <w:t xml:space="preserve">Unsafe Building Program properties where structures </w:t>
            </w:r>
            <w:r w:rsidR="00034788">
              <w:rPr>
                <w:rFonts w:ascii="Arial Narrow" w:hAnsi="Arial Narrow"/>
                <w:b/>
              </w:rPr>
              <w:t>will be</w:t>
            </w:r>
            <w:r w:rsidRPr="00286183">
              <w:rPr>
                <w:rFonts w:ascii="Arial Narrow" w:hAnsi="Arial Narrow"/>
                <w:b/>
              </w:rPr>
              <w:t xml:space="preserve"> removed</w:t>
            </w:r>
            <w:r w:rsidR="00034788">
              <w:rPr>
                <w:rFonts w:ascii="Arial Narrow" w:hAnsi="Arial Narrow"/>
                <w:b/>
              </w:rPr>
              <w:t xml:space="preserve"> </w:t>
            </w:r>
            <w:r w:rsidR="00034788" w:rsidRPr="00D0041B">
              <w:rPr>
                <w:rFonts w:ascii="Arial Narrow" w:hAnsi="Arial Narrow"/>
              </w:rPr>
              <w:t>(2011 – 2012)</w:t>
            </w:r>
          </w:p>
          <w:p w:rsidR="00906CB8" w:rsidRDefault="00906CB8" w:rsidP="00034788">
            <w:pPr>
              <w:pStyle w:val="ListParagraph"/>
              <w:ind w:left="0"/>
              <w:rPr>
                <w:rFonts w:ascii="Arial Narrow" w:hAnsi="Arial Narrow"/>
              </w:rPr>
            </w:pPr>
          </w:p>
          <w:p w:rsidR="00906CB8" w:rsidRPr="00906CB8" w:rsidRDefault="00906CB8" w:rsidP="00034788">
            <w:pPr>
              <w:pStyle w:val="ListParagraph"/>
              <w:ind w:left="0"/>
              <w:rPr>
                <w:rFonts w:ascii="Arial Narrow" w:hAnsi="Arial Narrow"/>
                <w:b/>
                <w:i/>
              </w:rPr>
            </w:pPr>
            <w:r w:rsidRPr="00906CB8">
              <w:rPr>
                <w:rFonts w:ascii="Arial Narrow" w:hAnsi="Arial Narrow"/>
                <w:i/>
                <w:highlight w:val="yellow"/>
              </w:rPr>
              <w:t>Is this essentially the Rebuild Indy demo list?</w:t>
            </w:r>
          </w:p>
        </w:tc>
        <w:tc>
          <w:tcPr>
            <w:tcW w:w="2430" w:type="dxa"/>
            <w:vAlign w:val="bottom"/>
          </w:tcPr>
          <w:p w:rsidR="006658F5" w:rsidRPr="00D0041B" w:rsidRDefault="00D0041B" w:rsidP="00D0041B">
            <w:pPr>
              <w:pStyle w:val="ListParagraph"/>
              <w:ind w:left="0"/>
              <w:jc w:val="right"/>
              <w:rPr>
                <w:rFonts w:ascii="Arial Narrow" w:hAnsi="Arial Narrow"/>
                <w:b/>
              </w:rPr>
            </w:pPr>
            <w:r w:rsidRPr="00D0041B">
              <w:rPr>
                <w:rFonts w:ascii="Arial Narrow" w:hAnsi="Arial Narrow"/>
                <w:b/>
              </w:rPr>
              <w:t>2,500 – 3,800</w:t>
            </w:r>
          </w:p>
        </w:tc>
        <w:tc>
          <w:tcPr>
            <w:tcW w:w="3960" w:type="dxa"/>
            <w:vAlign w:val="bottom"/>
          </w:tcPr>
          <w:p w:rsidR="006658F5" w:rsidRPr="000423FA" w:rsidRDefault="006658F5" w:rsidP="006658F5">
            <w:pPr>
              <w:pStyle w:val="ListParagraph"/>
              <w:ind w:left="0"/>
              <w:rPr>
                <w:rFonts w:ascii="Arial Narrow" w:hAnsi="Arial Narrow"/>
              </w:rPr>
            </w:pPr>
            <w:r>
              <w:rPr>
                <w:rFonts w:ascii="Arial Narrow" w:hAnsi="Arial Narrow"/>
              </w:rPr>
              <w:t xml:space="preserve">The removal of several thousand unsafe structures over 2 years poses a logistical and public relations challenge for the City of Indianapolis. Logistically, there needs to be a solid plan regarding the future of what will become thousands of vacant lots.  From a PR perspective, that plan needs to be clearly defined, articulated, and carried out.  </w:t>
            </w:r>
          </w:p>
        </w:tc>
      </w:tr>
      <w:tr w:rsidR="00D0041B" w:rsidRPr="000423FA">
        <w:tc>
          <w:tcPr>
            <w:tcW w:w="459" w:type="dxa"/>
            <w:tcBorders>
              <w:bottom w:val="nil"/>
            </w:tcBorders>
            <w:vAlign w:val="bottom"/>
          </w:tcPr>
          <w:p w:rsidR="00D0041B" w:rsidRPr="00286183" w:rsidRDefault="00D0041B" w:rsidP="006658F5">
            <w:pPr>
              <w:pStyle w:val="ListParagraph"/>
              <w:ind w:left="0"/>
              <w:jc w:val="center"/>
              <w:rPr>
                <w:rFonts w:ascii="Arial Narrow" w:hAnsi="Arial Narrow"/>
                <w:b/>
              </w:rPr>
            </w:pPr>
            <w:r>
              <w:rPr>
                <w:rFonts w:ascii="Arial Narrow" w:hAnsi="Arial Narrow"/>
                <w:b/>
              </w:rPr>
              <w:t>4</w:t>
            </w:r>
          </w:p>
        </w:tc>
        <w:tc>
          <w:tcPr>
            <w:tcW w:w="6831" w:type="dxa"/>
            <w:tcBorders>
              <w:bottom w:val="nil"/>
            </w:tcBorders>
            <w:vAlign w:val="bottom"/>
          </w:tcPr>
          <w:p w:rsidR="00D0041B" w:rsidRPr="00286183" w:rsidRDefault="00D0041B" w:rsidP="00D0041B">
            <w:pPr>
              <w:pStyle w:val="ListParagraph"/>
              <w:ind w:left="0"/>
              <w:rPr>
                <w:rFonts w:ascii="Arial Narrow" w:hAnsi="Arial Narrow"/>
                <w:b/>
              </w:rPr>
            </w:pPr>
            <w:r>
              <w:rPr>
                <w:rFonts w:ascii="Arial Narrow" w:hAnsi="Arial Narrow"/>
                <w:b/>
              </w:rPr>
              <w:t xml:space="preserve">National Community Stabilization Trust:  Single lender REO + pre-REO </w:t>
            </w:r>
            <w:r w:rsidRPr="00D0041B">
              <w:rPr>
                <w:rFonts w:ascii="Arial Narrow" w:hAnsi="Arial Narrow"/>
              </w:rPr>
              <w:t>(2011)</w:t>
            </w:r>
          </w:p>
        </w:tc>
        <w:tc>
          <w:tcPr>
            <w:tcW w:w="2430" w:type="dxa"/>
            <w:tcBorders>
              <w:bottom w:val="nil"/>
            </w:tcBorders>
            <w:vAlign w:val="bottom"/>
          </w:tcPr>
          <w:p w:rsidR="00D0041B" w:rsidRPr="00D0041B" w:rsidRDefault="00D0041B" w:rsidP="00D0041B">
            <w:pPr>
              <w:pStyle w:val="ListParagraph"/>
              <w:ind w:left="0"/>
              <w:jc w:val="right"/>
              <w:rPr>
                <w:rFonts w:ascii="Arial Narrow" w:hAnsi="Arial Narrow"/>
                <w:b/>
              </w:rPr>
            </w:pPr>
            <w:r w:rsidRPr="00D0041B">
              <w:rPr>
                <w:rFonts w:ascii="Arial Narrow" w:hAnsi="Arial Narrow"/>
                <w:b/>
              </w:rPr>
              <w:t xml:space="preserve">200 – 300 </w:t>
            </w:r>
          </w:p>
        </w:tc>
        <w:tc>
          <w:tcPr>
            <w:tcW w:w="3960" w:type="dxa"/>
            <w:tcBorders>
              <w:bottom w:val="nil"/>
            </w:tcBorders>
            <w:vAlign w:val="bottom"/>
          </w:tcPr>
          <w:p w:rsidR="00D0041B" w:rsidRDefault="00D0041B" w:rsidP="008C6F14">
            <w:pPr>
              <w:pStyle w:val="ListParagraph"/>
              <w:ind w:left="0"/>
              <w:rPr>
                <w:rFonts w:ascii="Arial Narrow" w:hAnsi="Arial Narrow"/>
              </w:rPr>
            </w:pPr>
            <w:r>
              <w:rPr>
                <w:rFonts w:ascii="Arial Narrow" w:hAnsi="Arial Narrow"/>
              </w:rPr>
              <w:t>NCST is serving as an intermediary between a single lender and the Indianapolis community to address a particular set of pre-REO properties immediately. A land bank specializes in this work.</w:t>
            </w:r>
          </w:p>
        </w:tc>
      </w:tr>
      <w:tr w:rsidR="00D0041B" w:rsidRPr="000423FA">
        <w:tc>
          <w:tcPr>
            <w:tcW w:w="459" w:type="dxa"/>
            <w:tcBorders>
              <w:bottom w:val="nil"/>
            </w:tcBorders>
            <w:vAlign w:val="bottom"/>
          </w:tcPr>
          <w:p w:rsidR="00D0041B" w:rsidRPr="00286183" w:rsidRDefault="00D0041B" w:rsidP="006658F5">
            <w:pPr>
              <w:pStyle w:val="ListParagraph"/>
              <w:ind w:left="0"/>
              <w:jc w:val="center"/>
              <w:rPr>
                <w:rFonts w:ascii="Arial Narrow" w:hAnsi="Arial Narrow"/>
                <w:b/>
              </w:rPr>
            </w:pPr>
            <w:r>
              <w:rPr>
                <w:rFonts w:ascii="Arial Narrow" w:hAnsi="Arial Narrow"/>
                <w:b/>
              </w:rPr>
              <w:t>5</w:t>
            </w:r>
          </w:p>
        </w:tc>
        <w:tc>
          <w:tcPr>
            <w:tcW w:w="6831" w:type="dxa"/>
            <w:tcBorders>
              <w:bottom w:val="nil"/>
            </w:tcBorders>
            <w:vAlign w:val="bottom"/>
          </w:tcPr>
          <w:p w:rsidR="00D0041B" w:rsidRPr="00286183" w:rsidRDefault="00D0041B" w:rsidP="006658F5">
            <w:pPr>
              <w:pStyle w:val="ListParagraph"/>
              <w:ind w:left="0"/>
              <w:rPr>
                <w:rFonts w:ascii="Arial Narrow" w:hAnsi="Arial Narrow"/>
                <w:b/>
              </w:rPr>
            </w:pPr>
            <w:r w:rsidRPr="00286183">
              <w:rPr>
                <w:rFonts w:ascii="Arial Narrow" w:hAnsi="Arial Narrow"/>
                <w:b/>
              </w:rPr>
              <w:t>Other properties, as requested:</w:t>
            </w:r>
          </w:p>
          <w:p w:rsidR="00D0041B" w:rsidRPr="00286183" w:rsidRDefault="00D0041B" w:rsidP="006658F5">
            <w:pPr>
              <w:pStyle w:val="ListParagraph"/>
              <w:ind w:left="0"/>
              <w:rPr>
                <w:rFonts w:ascii="Arial Narrow" w:hAnsi="Arial Narrow"/>
                <w:b/>
              </w:rPr>
            </w:pPr>
          </w:p>
          <w:p w:rsidR="00D0041B" w:rsidRPr="00286183" w:rsidRDefault="00D0041B" w:rsidP="00C6533D">
            <w:pPr>
              <w:pStyle w:val="ListParagraph"/>
              <w:numPr>
                <w:ilvl w:val="0"/>
                <w:numId w:val="15"/>
              </w:numPr>
              <w:rPr>
                <w:rFonts w:ascii="Arial Narrow" w:hAnsi="Arial Narrow"/>
                <w:b/>
              </w:rPr>
            </w:pPr>
            <w:r w:rsidRPr="00286183">
              <w:rPr>
                <w:rFonts w:ascii="Arial Narrow" w:hAnsi="Arial Narrow"/>
                <w:b/>
              </w:rPr>
              <w:t>properties in neighborhoods not served by a CDC/nonprofit;</w:t>
            </w:r>
          </w:p>
          <w:p w:rsidR="00D0041B" w:rsidRPr="00286183" w:rsidRDefault="00D0041B" w:rsidP="006658F5">
            <w:pPr>
              <w:pStyle w:val="ListParagraph"/>
              <w:numPr>
                <w:ilvl w:val="0"/>
                <w:numId w:val="15"/>
              </w:numPr>
              <w:rPr>
                <w:rFonts w:ascii="Arial Narrow" w:hAnsi="Arial Narrow"/>
                <w:b/>
              </w:rPr>
            </w:pPr>
            <w:r w:rsidRPr="00286183">
              <w:rPr>
                <w:rFonts w:ascii="Arial Narrow" w:hAnsi="Arial Narrow"/>
                <w:b/>
              </w:rPr>
              <w:t>brownfields;</w:t>
            </w:r>
          </w:p>
          <w:p w:rsidR="00D0041B" w:rsidRDefault="00D0041B" w:rsidP="006658F5">
            <w:pPr>
              <w:pStyle w:val="ListParagraph"/>
              <w:numPr>
                <w:ilvl w:val="0"/>
                <w:numId w:val="15"/>
              </w:numPr>
              <w:rPr>
                <w:rFonts w:ascii="Arial Narrow" w:hAnsi="Arial Narrow"/>
                <w:b/>
              </w:rPr>
            </w:pPr>
            <w:r w:rsidRPr="00286183">
              <w:rPr>
                <w:rFonts w:ascii="Arial Narrow" w:hAnsi="Arial Narrow"/>
                <w:b/>
              </w:rPr>
              <w:t>properties to support regional transit planning and implementation</w:t>
            </w:r>
          </w:p>
          <w:p w:rsidR="00906CB8" w:rsidRDefault="00906CB8" w:rsidP="00906CB8">
            <w:pPr>
              <w:rPr>
                <w:rFonts w:ascii="Arial Narrow" w:hAnsi="Arial Narrow"/>
                <w:b/>
              </w:rPr>
            </w:pPr>
          </w:p>
          <w:p w:rsidR="00906CB8" w:rsidRPr="00906CB8" w:rsidRDefault="00906CB8" w:rsidP="00906CB8">
            <w:pPr>
              <w:rPr>
                <w:rFonts w:ascii="Arial Narrow" w:hAnsi="Arial Narrow"/>
                <w:i/>
              </w:rPr>
            </w:pPr>
            <w:r w:rsidRPr="00906CB8">
              <w:rPr>
                <w:rFonts w:ascii="Arial Narrow" w:hAnsi="Arial Narrow"/>
                <w:i/>
                <w:highlight w:val="yellow"/>
              </w:rPr>
              <w:t>Note that this is somewhat of a subset of the above categories with exception of #3</w:t>
            </w:r>
          </w:p>
        </w:tc>
        <w:tc>
          <w:tcPr>
            <w:tcW w:w="2430" w:type="dxa"/>
            <w:tcBorders>
              <w:bottom w:val="nil"/>
            </w:tcBorders>
            <w:vAlign w:val="bottom"/>
          </w:tcPr>
          <w:p w:rsidR="00D0041B" w:rsidRDefault="00D0041B" w:rsidP="006658F5">
            <w:pPr>
              <w:pStyle w:val="ListParagraph"/>
              <w:ind w:left="0"/>
              <w:jc w:val="right"/>
              <w:rPr>
                <w:rFonts w:ascii="Arial Narrow" w:hAnsi="Arial Narrow"/>
              </w:rPr>
            </w:pPr>
            <w:r>
              <w:rPr>
                <w:rFonts w:ascii="Arial Narrow" w:hAnsi="Arial Narrow"/>
              </w:rPr>
              <w:t>Thousands in category 01</w:t>
            </w:r>
          </w:p>
          <w:p w:rsidR="00D0041B" w:rsidRDefault="00D0041B" w:rsidP="006658F5">
            <w:pPr>
              <w:pStyle w:val="ListParagraph"/>
              <w:ind w:left="0"/>
              <w:jc w:val="right"/>
              <w:rPr>
                <w:rFonts w:ascii="Arial Narrow" w:hAnsi="Arial Narrow"/>
              </w:rPr>
            </w:pPr>
            <w:r w:rsidRPr="00D0041B">
              <w:rPr>
                <w:rFonts w:ascii="Arial Narrow" w:hAnsi="Arial Narrow"/>
                <w:b/>
              </w:rPr>
              <w:t>1,600</w:t>
            </w:r>
            <w:r>
              <w:rPr>
                <w:rFonts w:ascii="Arial Narrow" w:hAnsi="Arial Narrow"/>
              </w:rPr>
              <w:t xml:space="preserve"> in category 02</w:t>
            </w:r>
          </w:p>
          <w:p w:rsidR="00D0041B" w:rsidRPr="000423FA" w:rsidRDefault="00D0041B" w:rsidP="006658F5">
            <w:pPr>
              <w:pStyle w:val="ListParagraph"/>
              <w:ind w:left="0"/>
              <w:jc w:val="right"/>
              <w:rPr>
                <w:rFonts w:ascii="Arial Narrow" w:hAnsi="Arial Narrow"/>
              </w:rPr>
            </w:pPr>
            <w:r>
              <w:rPr>
                <w:rFonts w:ascii="Arial Narrow" w:hAnsi="Arial Narrow"/>
              </w:rPr>
              <w:t>Hundreds in category 03</w:t>
            </w:r>
          </w:p>
        </w:tc>
        <w:tc>
          <w:tcPr>
            <w:tcW w:w="3960" w:type="dxa"/>
            <w:tcBorders>
              <w:bottom w:val="nil"/>
            </w:tcBorders>
            <w:vAlign w:val="bottom"/>
          </w:tcPr>
          <w:p w:rsidR="00D0041B" w:rsidRPr="000423FA" w:rsidRDefault="00D0041B" w:rsidP="008C6F14">
            <w:pPr>
              <w:pStyle w:val="ListParagraph"/>
              <w:ind w:left="0"/>
              <w:rPr>
                <w:rFonts w:ascii="Arial Narrow" w:hAnsi="Arial Narrow"/>
              </w:rPr>
            </w:pPr>
            <w:r>
              <w:rPr>
                <w:rFonts w:ascii="Arial Narrow" w:hAnsi="Arial Narrow"/>
              </w:rPr>
              <w:t xml:space="preserve">No entity exists with the authority or capacity to work with neighborhoods that are not represented by a CDC or nonprofit to which Indy Land Bank properties can legally be disposed, to effectively deal with brownfields that blight neighborhoods, or to support regional planning efforts.  </w:t>
            </w:r>
          </w:p>
        </w:tc>
      </w:tr>
      <w:tr w:rsidR="00D0041B" w:rsidRPr="000423FA">
        <w:tc>
          <w:tcPr>
            <w:tcW w:w="7290" w:type="dxa"/>
            <w:gridSpan w:val="2"/>
            <w:tcBorders>
              <w:top w:val="nil"/>
              <w:left w:val="nil"/>
              <w:bottom w:val="nil"/>
              <w:right w:val="nil"/>
            </w:tcBorders>
            <w:shd w:val="clear" w:color="auto" w:fill="215868" w:themeFill="accent5" w:themeFillShade="80"/>
            <w:vAlign w:val="bottom"/>
          </w:tcPr>
          <w:p w:rsidR="00D0041B" w:rsidRPr="00DC4B22" w:rsidRDefault="00D0041B" w:rsidP="006658F5">
            <w:pPr>
              <w:pStyle w:val="ListParagraph"/>
              <w:ind w:left="0"/>
              <w:jc w:val="right"/>
              <w:rPr>
                <w:rFonts w:ascii="Arial Narrow" w:hAnsi="Arial Narrow"/>
                <w:b/>
                <w:color w:val="FFFFFF" w:themeColor="background1"/>
                <w:sz w:val="24"/>
              </w:rPr>
            </w:pPr>
            <w:r w:rsidRPr="00DC4B22">
              <w:rPr>
                <w:rFonts w:ascii="Arial Narrow" w:hAnsi="Arial Narrow"/>
                <w:b/>
                <w:color w:val="FFFFFF" w:themeColor="background1"/>
                <w:sz w:val="24"/>
              </w:rPr>
              <w:t>Estimated Total</w:t>
            </w:r>
          </w:p>
        </w:tc>
        <w:tc>
          <w:tcPr>
            <w:tcW w:w="6390" w:type="dxa"/>
            <w:gridSpan w:val="2"/>
            <w:tcBorders>
              <w:top w:val="nil"/>
              <w:left w:val="nil"/>
              <w:bottom w:val="nil"/>
              <w:right w:val="nil"/>
            </w:tcBorders>
            <w:shd w:val="clear" w:color="auto" w:fill="215868" w:themeFill="accent5" w:themeFillShade="80"/>
            <w:vAlign w:val="bottom"/>
          </w:tcPr>
          <w:p w:rsidR="00D0041B" w:rsidRPr="00DC4B22" w:rsidRDefault="00D0041B" w:rsidP="008C6F14">
            <w:pPr>
              <w:pStyle w:val="ListParagraph"/>
              <w:ind w:left="0"/>
              <w:rPr>
                <w:rFonts w:ascii="Arial Narrow" w:hAnsi="Arial Narrow"/>
                <w:b/>
                <w:color w:val="FFFFFF" w:themeColor="background1"/>
                <w:sz w:val="24"/>
              </w:rPr>
            </w:pPr>
            <w:r>
              <w:rPr>
                <w:rFonts w:ascii="Arial Narrow" w:hAnsi="Arial Narrow"/>
                <w:b/>
                <w:color w:val="FFFFFF" w:themeColor="background1"/>
                <w:sz w:val="24"/>
              </w:rPr>
              <w:t>13</w:t>
            </w:r>
            <w:r w:rsidRPr="00DC4B22">
              <w:rPr>
                <w:rFonts w:ascii="Arial Narrow" w:hAnsi="Arial Narrow"/>
                <w:b/>
                <w:color w:val="FFFFFF" w:themeColor="background1"/>
                <w:sz w:val="24"/>
              </w:rPr>
              <w:t>,</w:t>
            </w:r>
            <w:r>
              <w:rPr>
                <w:rFonts w:ascii="Arial Narrow" w:hAnsi="Arial Narrow"/>
                <w:b/>
                <w:color w:val="FFFFFF" w:themeColor="background1"/>
                <w:sz w:val="24"/>
              </w:rPr>
              <w:t>600</w:t>
            </w:r>
            <w:r w:rsidRPr="00DC4B22">
              <w:rPr>
                <w:rFonts w:ascii="Arial Narrow" w:hAnsi="Arial Narrow"/>
                <w:b/>
                <w:color w:val="FFFFFF" w:themeColor="background1"/>
                <w:sz w:val="24"/>
              </w:rPr>
              <w:t xml:space="preserve"> – </w:t>
            </w:r>
            <w:r>
              <w:rPr>
                <w:rFonts w:ascii="Arial Narrow" w:hAnsi="Arial Narrow"/>
                <w:b/>
                <w:color w:val="FFFFFF" w:themeColor="background1"/>
                <w:sz w:val="24"/>
              </w:rPr>
              <w:t xml:space="preserve">15,000 </w:t>
            </w:r>
            <w:r>
              <w:rPr>
                <w:rFonts w:ascii="Arial Narrow" w:hAnsi="Arial Narrow"/>
                <w:color w:val="FFFFFF" w:themeColor="background1"/>
                <w:sz w:val="24"/>
              </w:rPr>
              <w:t>identified above</w:t>
            </w:r>
          </w:p>
          <w:p w:rsidR="00D0041B" w:rsidRPr="00DC4B22" w:rsidRDefault="00D0041B" w:rsidP="008C6F14">
            <w:pPr>
              <w:pStyle w:val="ListParagraph"/>
              <w:ind w:left="0"/>
              <w:rPr>
                <w:rFonts w:ascii="Arial Narrow" w:hAnsi="Arial Narrow"/>
                <w:color w:val="FFFFFF" w:themeColor="background1"/>
                <w:sz w:val="24"/>
              </w:rPr>
            </w:pPr>
            <w:r w:rsidRPr="00DC4B22">
              <w:rPr>
                <w:rFonts w:ascii="Arial Narrow" w:hAnsi="Arial Narrow"/>
                <w:color w:val="FFFFFF" w:themeColor="background1"/>
                <w:sz w:val="24"/>
              </w:rPr>
              <w:t>+ properties in neighborhoods not served by CDC</w:t>
            </w:r>
          </w:p>
          <w:p w:rsidR="00D0041B" w:rsidRPr="00DC4B22" w:rsidRDefault="00D0041B" w:rsidP="008C6F14">
            <w:pPr>
              <w:pStyle w:val="ListParagraph"/>
              <w:ind w:left="0"/>
              <w:rPr>
                <w:rFonts w:ascii="Arial Narrow" w:hAnsi="Arial Narrow"/>
                <w:color w:val="FFFFFF" w:themeColor="background1"/>
                <w:sz w:val="24"/>
              </w:rPr>
            </w:pPr>
            <w:r w:rsidRPr="00DC4B22">
              <w:rPr>
                <w:rFonts w:ascii="Arial Narrow" w:hAnsi="Arial Narrow"/>
                <w:color w:val="FFFFFF" w:themeColor="background1"/>
                <w:sz w:val="24"/>
              </w:rPr>
              <w:t>+ properties to support regional transit</w:t>
            </w:r>
          </w:p>
          <w:p w:rsidR="00D0041B" w:rsidRPr="00DC4B22" w:rsidRDefault="00D0041B" w:rsidP="008C6F14">
            <w:pPr>
              <w:pStyle w:val="ListParagraph"/>
              <w:ind w:left="0"/>
              <w:rPr>
                <w:rFonts w:ascii="Arial Narrow" w:hAnsi="Arial Narrow"/>
                <w:b/>
                <w:color w:val="FFFFFF" w:themeColor="background1"/>
                <w:sz w:val="24"/>
              </w:rPr>
            </w:pPr>
            <w:r>
              <w:rPr>
                <w:rFonts w:ascii="Arial Narrow" w:hAnsi="Arial Narrow"/>
                <w:b/>
                <w:color w:val="FFFFFF" w:themeColor="background1"/>
                <w:sz w:val="24"/>
              </w:rPr>
              <w:lastRenderedPageBreak/>
              <w:t>&gt; 18</w:t>
            </w:r>
            <w:r w:rsidRPr="00DC4B22">
              <w:rPr>
                <w:rFonts w:ascii="Arial Narrow" w:hAnsi="Arial Narrow"/>
                <w:b/>
                <w:color w:val="FFFFFF" w:themeColor="background1"/>
                <w:sz w:val="24"/>
              </w:rPr>
              <w:t>,000+</w:t>
            </w:r>
          </w:p>
        </w:tc>
      </w:tr>
    </w:tbl>
    <w:p w:rsidR="006516C8" w:rsidRDefault="006516C8" w:rsidP="006516C8">
      <w:pPr>
        <w:rPr>
          <w:rFonts w:ascii="Arial Narrow" w:hAnsi="Arial Narrow"/>
        </w:rPr>
      </w:pPr>
    </w:p>
    <w:p w:rsidR="00627D43" w:rsidRPr="00630D5C" w:rsidRDefault="00627D43" w:rsidP="00627D43">
      <w:pPr>
        <w:pStyle w:val="ListParagraph"/>
        <w:numPr>
          <w:ilvl w:val="0"/>
          <w:numId w:val="1"/>
        </w:numPr>
        <w:rPr>
          <w:rFonts w:ascii="Arial Narrow" w:hAnsi="Arial Narrow"/>
          <w:sz w:val="22"/>
        </w:rPr>
      </w:pPr>
      <w:r w:rsidRPr="00630D5C">
        <w:rPr>
          <w:rFonts w:ascii="Arial Narrow" w:hAnsi="Arial Narrow"/>
          <w:sz w:val="22"/>
        </w:rPr>
        <w:t>Th</w:t>
      </w:r>
      <w:r w:rsidR="00E66393" w:rsidRPr="00630D5C">
        <w:rPr>
          <w:rFonts w:ascii="Arial Narrow" w:hAnsi="Arial Narrow"/>
          <w:sz w:val="22"/>
        </w:rPr>
        <w:t xml:space="preserve">e Land Bank of Indianapolis will work with </w:t>
      </w:r>
      <w:r w:rsidRPr="00630D5C">
        <w:rPr>
          <w:rFonts w:ascii="Arial Narrow" w:hAnsi="Arial Narrow"/>
          <w:b/>
          <w:sz w:val="22"/>
        </w:rPr>
        <w:t>DMD to immediately enhance the capacity of the municipal Indy Land Bank</w:t>
      </w:r>
      <w:r w:rsidRPr="00630D5C">
        <w:rPr>
          <w:rFonts w:ascii="Arial Narrow" w:hAnsi="Arial Narrow"/>
          <w:sz w:val="22"/>
        </w:rPr>
        <w:t xml:space="preserve"> by:</w:t>
      </w:r>
    </w:p>
    <w:p w:rsidR="00627D43" w:rsidRPr="00630D5C" w:rsidRDefault="00627D43" w:rsidP="00627D43">
      <w:pPr>
        <w:pStyle w:val="ListParagraph"/>
        <w:rPr>
          <w:rFonts w:ascii="Arial Narrow" w:hAnsi="Arial Narrow"/>
          <w:sz w:val="22"/>
        </w:rPr>
      </w:pPr>
    </w:p>
    <w:p w:rsidR="00627D43" w:rsidRPr="00630D5C" w:rsidRDefault="00627D43" w:rsidP="00627D43">
      <w:pPr>
        <w:pStyle w:val="ListParagraph"/>
        <w:numPr>
          <w:ilvl w:val="0"/>
          <w:numId w:val="25"/>
        </w:numPr>
        <w:rPr>
          <w:rFonts w:ascii="Arial Narrow" w:hAnsi="Arial Narrow"/>
          <w:sz w:val="22"/>
        </w:rPr>
      </w:pPr>
      <w:r w:rsidRPr="00630D5C">
        <w:rPr>
          <w:rFonts w:ascii="Arial Narrow" w:hAnsi="Arial Narrow"/>
          <w:sz w:val="22"/>
        </w:rPr>
        <w:t>examining, classifying, managing property;</w:t>
      </w:r>
    </w:p>
    <w:p w:rsidR="00627D43" w:rsidRPr="00630D5C" w:rsidRDefault="00627D43" w:rsidP="00627D43">
      <w:pPr>
        <w:pStyle w:val="ListParagraph"/>
        <w:numPr>
          <w:ilvl w:val="0"/>
          <w:numId w:val="25"/>
        </w:numPr>
        <w:rPr>
          <w:rFonts w:ascii="Arial Narrow" w:hAnsi="Arial Narrow"/>
          <w:sz w:val="22"/>
        </w:rPr>
      </w:pPr>
      <w:r w:rsidRPr="00630D5C">
        <w:rPr>
          <w:rFonts w:ascii="Arial Narrow" w:hAnsi="Arial Narrow"/>
          <w:sz w:val="22"/>
        </w:rPr>
        <w:t>examining deficiencies;</w:t>
      </w:r>
    </w:p>
    <w:p w:rsidR="00AC212A" w:rsidRPr="00AC212A" w:rsidRDefault="00627D43" w:rsidP="00627D43">
      <w:pPr>
        <w:pStyle w:val="ListParagraph"/>
        <w:numPr>
          <w:ilvl w:val="0"/>
          <w:numId w:val="25"/>
        </w:numPr>
        <w:rPr>
          <w:rFonts w:ascii="Arial Narrow" w:hAnsi="Arial Narrow"/>
          <w:sz w:val="22"/>
        </w:rPr>
      </w:pPr>
      <w:r w:rsidRPr="00630D5C">
        <w:rPr>
          <w:rFonts w:ascii="Arial Narrow" w:hAnsi="Arial Narrow"/>
          <w:sz w:val="22"/>
        </w:rPr>
        <w:t>serving as an appointed receiver;</w:t>
      </w:r>
      <w:r w:rsidR="00906CB8">
        <w:rPr>
          <w:rFonts w:ascii="Arial Narrow" w:hAnsi="Arial Narrow"/>
          <w:sz w:val="22"/>
        </w:rPr>
        <w:t xml:space="preserve">  </w:t>
      </w:r>
      <w:r w:rsidR="00AC212A">
        <w:rPr>
          <w:rFonts w:ascii="Arial Narrow" w:hAnsi="Arial Narrow"/>
          <w:i/>
          <w:sz w:val="22"/>
        </w:rPr>
        <w:t xml:space="preserve"> </w:t>
      </w:r>
      <w:r w:rsidR="00AC212A" w:rsidRPr="00AC212A">
        <w:rPr>
          <w:rFonts w:ascii="Arial Narrow" w:hAnsi="Arial Narrow"/>
          <w:i/>
          <w:sz w:val="22"/>
          <w:highlight w:val="yellow"/>
        </w:rPr>
        <w:t>clearly this needs to include maintenance</w:t>
      </w:r>
    </w:p>
    <w:p w:rsidR="00627D43" w:rsidRPr="00AC212A" w:rsidRDefault="00627D43" w:rsidP="00AC212A">
      <w:pPr>
        <w:pStyle w:val="ListParagraph"/>
        <w:numPr>
          <w:ilvl w:val="0"/>
          <w:numId w:val="25"/>
        </w:numPr>
        <w:rPr>
          <w:rFonts w:ascii="Arial Narrow" w:hAnsi="Arial Narrow"/>
          <w:sz w:val="22"/>
        </w:rPr>
      </w:pPr>
      <w:r w:rsidRPr="00630D5C">
        <w:rPr>
          <w:rFonts w:ascii="Arial Narrow" w:hAnsi="Arial Narrow"/>
          <w:sz w:val="22"/>
        </w:rPr>
        <w:t>advising on and undertaking strategic redevelopment approaches to existing Indy Land Bank property.</w:t>
      </w:r>
      <w:r w:rsidR="00AC212A">
        <w:rPr>
          <w:rFonts w:ascii="Arial Narrow" w:hAnsi="Arial Narrow"/>
          <w:sz w:val="22"/>
        </w:rPr>
        <w:t xml:space="preserve">  </w:t>
      </w:r>
      <w:r w:rsidR="00AC212A" w:rsidRPr="00906CB8">
        <w:rPr>
          <w:rFonts w:ascii="Arial Narrow" w:hAnsi="Arial Narrow"/>
          <w:i/>
          <w:sz w:val="22"/>
          <w:highlight w:val="yellow"/>
        </w:rPr>
        <w:t>implies extensive internal capacity to redevelop property or manage redevelopment</w:t>
      </w:r>
    </w:p>
    <w:p w:rsidR="00627D43" w:rsidRPr="00630D5C" w:rsidRDefault="00627D43" w:rsidP="00627D43">
      <w:pPr>
        <w:rPr>
          <w:rFonts w:ascii="Arial Narrow" w:hAnsi="Arial Narrow"/>
          <w:sz w:val="22"/>
        </w:rPr>
      </w:pPr>
    </w:p>
    <w:p w:rsidR="00627D43" w:rsidRPr="00630D5C" w:rsidRDefault="00627D43" w:rsidP="00627D43">
      <w:pPr>
        <w:rPr>
          <w:rFonts w:ascii="Arial Narrow" w:hAnsi="Arial Narrow"/>
          <w:sz w:val="22"/>
        </w:rPr>
      </w:pPr>
    </w:p>
    <w:p w:rsidR="00DC4B22" w:rsidRPr="00630D5C" w:rsidRDefault="00DC4B22" w:rsidP="00DC4B22">
      <w:pPr>
        <w:pStyle w:val="ListParagraph"/>
        <w:numPr>
          <w:ilvl w:val="0"/>
          <w:numId w:val="1"/>
        </w:numPr>
        <w:rPr>
          <w:rFonts w:ascii="Arial Narrow" w:hAnsi="Arial Narrow"/>
          <w:sz w:val="22"/>
        </w:rPr>
      </w:pPr>
      <w:r w:rsidRPr="00630D5C">
        <w:rPr>
          <w:rFonts w:ascii="Arial Narrow" w:hAnsi="Arial Narrow"/>
          <w:sz w:val="22"/>
        </w:rPr>
        <w:t xml:space="preserve">The Land Bank of Indianapolis will work with the </w:t>
      </w:r>
      <w:r w:rsidRPr="00630D5C">
        <w:rPr>
          <w:rFonts w:ascii="Arial Narrow" w:hAnsi="Arial Narrow"/>
          <w:b/>
          <w:sz w:val="22"/>
        </w:rPr>
        <w:t>Treasurer’s Office to deal with Marion County’s serious “surplus” property problem</w:t>
      </w:r>
      <w:r w:rsidRPr="00630D5C">
        <w:rPr>
          <w:rFonts w:ascii="Arial Narrow" w:hAnsi="Arial Narrow"/>
          <w:sz w:val="22"/>
        </w:rPr>
        <w:t>:</w:t>
      </w:r>
    </w:p>
    <w:p w:rsidR="00DC4B22" w:rsidRPr="00630D5C" w:rsidRDefault="00DC4B22" w:rsidP="00DC4B22">
      <w:pPr>
        <w:pStyle w:val="ListParagraph"/>
        <w:rPr>
          <w:rFonts w:ascii="Arial Narrow" w:hAnsi="Arial Narrow"/>
          <w:sz w:val="22"/>
        </w:rPr>
      </w:pPr>
    </w:p>
    <w:p w:rsidR="00DC4B22" w:rsidRPr="00630D5C" w:rsidRDefault="00DC4B22" w:rsidP="00DC4B22">
      <w:pPr>
        <w:pStyle w:val="ListParagraph"/>
        <w:numPr>
          <w:ilvl w:val="1"/>
          <w:numId w:val="18"/>
        </w:numPr>
        <w:rPr>
          <w:rFonts w:ascii="Arial Narrow" w:hAnsi="Arial Narrow"/>
          <w:sz w:val="22"/>
        </w:rPr>
      </w:pPr>
      <w:r w:rsidRPr="00630D5C">
        <w:rPr>
          <w:rFonts w:ascii="Arial Narrow" w:hAnsi="Arial Narrow"/>
          <w:sz w:val="22"/>
        </w:rPr>
        <w:t xml:space="preserve">secure all tax data, tax delinquency data, transaction </w:t>
      </w:r>
      <w:r w:rsidR="00627D43" w:rsidRPr="00630D5C">
        <w:rPr>
          <w:rFonts w:ascii="Arial Narrow" w:hAnsi="Arial Narrow"/>
          <w:sz w:val="22"/>
        </w:rPr>
        <w:t xml:space="preserve">cost data, </w:t>
      </w:r>
      <w:r w:rsidRPr="00630D5C">
        <w:rPr>
          <w:rFonts w:ascii="Arial Narrow" w:hAnsi="Arial Narrow"/>
          <w:sz w:val="22"/>
        </w:rPr>
        <w:t xml:space="preserve">and </w:t>
      </w:r>
      <w:r w:rsidR="00627D43" w:rsidRPr="00630D5C">
        <w:rPr>
          <w:rFonts w:ascii="Arial Narrow" w:hAnsi="Arial Narrow"/>
          <w:sz w:val="22"/>
        </w:rPr>
        <w:t xml:space="preserve">data regarding </w:t>
      </w:r>
      <w:r w:rsidRPr="00630D5C">
        <w:rPr>
          <w:rFonts w:ascii="Arial Narrow" w:hAnsi="Arial Narrow"/>
          <w:sz w:val="22"/>
        </w:rPr>
        <w:t>other administrative costs associated with conducting tax sales and managing “surplus” property and “surplus” property valuation;</w:t>
      </w:r>
    </w:p>
    <w:p w:rsidR="00DC4B22" w:rsidRPr="00630D5C" w:rsidRDefault="00DC4B22" w:rsidP="00DC4B22">
      <w:pPr>
        <w:pStyle w:val="ListParagraph"/>
        <w:ind w:left="1800"/>
        <w:rPr>
          <w:rFonts w:ascii="Arial Narrow" w:hAnsi="Arial Narrow"/>
          <w:sz w:val="22"/>
        </w:rPr>
      </w:pPr>
    </w:p>
    <w:p w:rsidR="00DC4B22" w:rsidRPr="00630D5C" w:rsidRDefault="00DC4B22" w:rsidP="00DC4B22">
      <w:pPr>
        <w:pStyle w:val="ListParagraph"/>
        <w:numPr>
          <w:ilvl w:val="1"/>
          <w:numId w:val="18"/>
        </w:numPr>
        <w:rPr>
          <w:rFonts w:ascii="Arial Narrow" w:hAnsi="Arial Narrow"/>
          <w:sz w:val="22"/>
        </w:rPr>
      </w:pPr>
      <w:r w:rsidRPr="00630D5C">
        <w:rPr>
          <w:rFonts w:ascii="Arial Narrow" w:hAnsi="Arial Narrow"/>
          <w:sz w:val="22"/>
        </w:rPr>
        <w:t>identify longer term financing options for land banking that bundle the assets that are these “surplus” properties and use them as collateral under various financing mechanisms currently used for land banking throughout the country;</w:t>
      </w:r>
    </w:p>
    <w:p w:rsidR="00DC4B22" w:rsidRPr="00630D5C" w:rsidRDefault="00DC4B22" w:rsidP="00DC4B22">
      <w:pPr>
        <w:rPr>
          <w:rFonts w:ascii="Arial Narrow" w:hAnsi="Arial Narrow"/>
          <w:sz w:val="22"/>
        </w:rPr>
      </w:pPr>
    </w:p>
    <w:p w:rsidR="00DC4B22" w:rsidRPr="00630D5C" w:rsidRDefault="00627D43" w:rsidP="00DC4B22">
      <w:pPr>
        <w:pStyle w:val="ListParagraph"/>
        <w:numPr>
          <w:ilvl w:val="1"/>
          <w:numId w:val="18"/>
        </w:numPr>
        <w:rPr>
          <w:rFonts w:ascii="Arial Narrow" w:hAnsi="Arial Narrow"/>
          <w:sz w:val="22"/>
        </w:rPr>
      </w:pPr>
      <w:r w:rsidRPr="00630D5C">
        <w:rPr>
          <w:rFonts w:ascii="Arial Narrow" w:hAnsi="Arial Narrow"/>
          <w:sz w:val="22"/>
        </w:rPr>
        <w:t>advise on and undertake</w:t>
      </w:r>
      <w:r w:rsidR="00DC4B22" w:rsidRPr="00630D5C">
        <w:rPr>
          <w:rFonts w:ascii="Arial Narrow" w:hAnsi="Arial Narrow"/>
          <w:sz w:val="22"/>
        </w:rPr>
        <w:t xml:space="preserve"> strategic redevelopment approaches to existing “surplus” property.</w:t>
      </w:r>
      <w:r w:rsidR="00AC212A">
        <w:rPr>
          <w:rFonts w:ascii="Arial Narrow" w:hAnsi="Arial Narrow"/>
          <w:sz w:val="22"/>
        </w:rPr>
        <w:t xml:space="preserve">  </w:t>
      </w:r>
      <w:r w:rsidR="00AC212A">
        <w:rPr>
          <w:rFonts w:ascii="Arial Narrow" w:hAnsi="Arial Narrow"/>
          <w:i/>
          <w:sz w:val="22"/>
        </w:rPr>
        <w:t>what exactly</w:t>
      </w:r>
    </w:p>
    <w:p w:rsidR="00DC4B22" w:rsidRPr="00630D5C" w:rsidRDefault="00DC4B22" w:rsidP="00DC4B22">
      <w:pPr>
        <w:rPr>
          <w:rFonts w:ascii="Arial Narrow" w:hAnsi="Arial Narrow"/>
          <w:sz w:val="22"/>
        </w:rPr>
      </w:pPr>
    </w:p>
    <w:p w:rsidR="00DC4B22" w:rsidRPr="00630D5C" w:rsidRDefault="00DC4B22" w:rsidP="00DC4B22">
      <w:pPr>
        <w:rPr>
          <w:rFonts w:ascii="Arial Narrow" w:hAnsi="Arial Narrow"/>
          <w:sz w:val="22"/>
        </w:rPr>
      </w:pPr>
    </w:p>
    <w:p w:rsidR="00E66393" w:rsidRPr="00630D5C" w:rsidRDefault="00E66393" w:rsidP="00E66393">
      <w:pPr>
        <w:pStyle w:val="ListParagraph"/>
        <w:numPr>
          <w:ilvl w:val="0"/>
          <w:numId w:val="1"/>
        </w:numPr>
        <w:rPr>
          <w:rFonts w:ascii="Arial Narrow" w:hAnsi="Arial Narrow"/>
          <w:sz w:val="22"/>
        </w:rPr>
      </w:pPr>
      <w:r w:rsidRPr="00630D5C">
        <w:rPr>
          <w:rFonts w:ascii="Arial Narrow" w:hAnsi="Arial Narrow"/>
          <w:sz w:val="22"/>
        </w:rPr>
        <w:t xml:space="preserve">The Land Bank of Indianapolis will work with </w:t>
      </w:r>
      <w:r w:rsidRPr="00630D5C">
        <w:rPr>
          <w:rFonts w:ascii="Arial Narrow" w:hAnsi="Arial Narrow"/>
          <w:b/>
          <w:sz w:val="22"/>
        </w:rPr>
        <w:t>Rebuild Indy to strategically manage Unsafe Building Program-associated properties</w:t>
      </w:r>
      <w:r w:rsidRPr="00630D5C">
        <w:rPr>
          <w:rFonts w:ascii="Arial Narrow" w:hAnsi="Arial Narrow"/>
          <w:sz w:val="22"/>
        </w:rPr>
        <w:t xml:space="preserve"> by:</w:t>
      </w:r>
    </w:p>
    <w:p w:rsidR="00E66393" w:rsidRPr="00630D5C" w:rsidRDefault="00E66393" w:rsidP="00E66393">
      <w:pPr>
        <w:pStyle w:val="ListParagraph"/>
        <w:ind w:left="1800"/>
        <w:rPr>
          <w:rFonts w:ascii="Arial Narrow" w:hAnsi="Arial Narrow"/>
          <w:sz w:val="22"/>
        </w:rPr>
      </w:pPr>
    </w:p>
    <w:p w:rsidR="00E66393" w:rsidRPr="00630D5C" w:rsidRDefault="00E66393" w:rsidP="00E66393">
      <w:pPr>
        <w:pStyle w:val="ListParagraph"/>
        <w:numPr>
          <w:ilvl w:val="0"/>
          <w:numId w:val="23"/>
        </w:numPr>
        <w:rPr>
          <w:rFonts w:ascii="Arial Narrow" w:hAnsi="Arial Narrow"/>
          <w:sz w:val="22"/>
        </w:rPr>
      </w:pPr>
      <w:r w:rsidRPr="00630D5C">
        <w:rPr>
          <w:rFonts w:ascii="Arial Narrow" w:hAnsi="Arial Narrow"/>
          <w:sz w:val="22"/>
        </w:rPr>
        <w:t>advising on and undertaking strategic redevelopment approaches to the thousands of vacant lots produced through the planned removal of 2,500 – 3,800 unsafe structures in 2011 – 2012;</w:t>
      </w:r>
    </w:p>
    <w:p w:rsidR="00E66393" w:rsidRPr="00630D5C" w:rsidRDefault="00E66393" w:rsidP="00E66393">
      <w:pPr>
        <w:pStyle w:val="ListParagraph"/>
        <w:ind w:left="1800"/>
        <w:rPr>
          <w:rFonts w:ascii="Arial Narrow" w:hAnsi="Arial Narrow"/>
          <w:sz w:val="22"/>
        </w:rPr>
      </w:pPr>
    </w:p>
    <w:p w:rsidR="00E66393" w:rsidRPr="00630D5C" w:rsidRDefault="00E66393" w:rsidP="00E66393">
      <w:pPr>
        <w:pStyle w:val="ListParagraph"/>
        <w:numPr>
          <w:ilvl w:val="0"/>
          <w:numId w:val="23"/>
        </w:numPr>
        <w:rPr>
          <w:rFonts w:ascii="Arial Narrow" w:hAnsi="Arial Narrow"/>
          <w:sz w:val="22"/>
        </w:rPr>
      </w:pPr>
      <w:r w:rsidRPr="00630D5C">
        <w:rPr>
          <w:rFonts w:ascii="Arial Narrow" w:hAnsi="Arial Narrow"/>
          <w:sz w:val="22"/>
        </w:rPr>
        <w:t>serving as an appointed receiver.</w:t>
      </w:r>
    </w:p>
    <w:p w:rsidR="00E66393" w:rsidRPr="00630D5C" w:rsidRDefault="00E66393" w:rsidP="00E66393">
      <w:pPr>
        <w:rPr>
          <w:rFonts w:ascii="Arial Narrow" w:hAnsi="Arial Narrow"/>
          <w:sz w:val="22"/>
        </w:rPr>
      </w:pPr>
    </w:p>
    <w:p w:rsidR="00E66393" w:rsidRPr="00630D5C" w:rsidRDefault="00E66393" w:rsidP="00E66393">
      <w:pPr>
        <w:rPr>
          <w:rFonts w:ascii="Arial Narrow" w:hAnsi="Arial Narrow"/>
          <w:sz w:val="22"/>
        </w:rPr>
      </w:pPr>
    </w:p>
    <w:p w:rsidR="00E66393" w:rsidRPr="00630D5C" w:rsidRDefault="00E66393" w:rsidP="00DC4B22">
      <w:pPr>
        <w:pStyle w:val="ListParagraph"/>
        <w:numPr>
          <w:ilvl w:val="0"/>
          <w:numId w:val="1"/>
        </w:numPr>
        <w:rPr>
          <w:rFonts w:ascii="Arial Narrow" w:hAnsi="Arial Narrow"/>
          <w:sz w:val="22"/>
        </w:rPr>
      </w:pPr>
      <w:r w:rsidRPr="00630D5C">
        <w:rPr>
          <w:rFonts w:ascii="Arial Narrow" w:hAnsi="Arial Narrow"/>
          <w:sz w:val="22"/>
        </w:rPr>
        <w:t xml:space="preserve">The Land Bank of Indianapolis will work with the Indianapolis Neighborhood Housing Partnership and </w:t>
      </w:r>
      <w:r w:rsidRPr="00DC5E57">
        <w:rPr>
          <w:rFonts w:ascii="Arial Narrow" w:hAnsi="Arial Narrow"/>
          <w:sz w:val="22"/>
        </w:rPr>
        <w:t>the</w:t>
      </w:r>
      <w:r w:rsidRPr="00630D5C">
        <w:rPr>
          <w:rFonts w:ascii="Arial Narrow" w:hAnsi="Arial Narrow"/>
          <w:b/>
          <w:sz w:val="22"/>
        </w:rPr>
        <w:t xml:space="preserve"> National Community Stabilization Trust to structure a pilot initiative with a single lender that has expressed their interest in the same in order to immediately address 200 – 300 properties</w:t>
      </w:r>
      <w:r w:rsidRPr="00630D5C">
        <w:rPr>
          <w:rFonts w:ascii="Arial Narrow" w:hAnsi="Arial Narrow"/>
          <w:sz w:val="22"/>
        </w:rPr>
        <w:t xml:space="preserve"> that are in mortgage distress (i.e., pre-REO) and at risk of foreclosure.</w:t>
      </w:r>
    </w:p>
    <w:p w:rsidR="00E66393" w:rsidRPr="00630D5C" w:rsidRDefault="00E66393" w:rsidP="00E66393">
      <w:pPr>
        <w:pStyle w:val="ListParagraph"/>
        <w:rPr>
          <w:rFonts w:ascii="Arial Narrow" w:hAnsi="Arial Narrow"/>
          <w:sz w:val="22"/>
        </w:rPr>
      </w:pPr>
    </w:p>
    <w:p w:rsidR="00DC4B22" w:rsidRPr="00630D5C" w:rsidRDefault="00DC4B22" w:rsidP="00DC4B22">
      <w:pPr>
        <w:rPr>
          <w:rFonts w:ascii="Arial Narrow" w:hAnsi="Arial Narrow"/>
          <w:sz w:val="22"/>
        </w:rPr>
      </w:pPr>
    </w:p>
    <w:p w:rsidR="00E66393" w:rsidRPr="00630D5C" w:rsidRDefault="00627D43" w:rsidP="00627D43">
      <w:pPr>
        <w:pStyle w:val="ListParagraph"/>
        <w:numPr>
          <w:ilvl w:val="0"/>
          <w:numId w:val="1"/>
        </w:numPr>
        <w:rPr>
          <w:rFonts w:ascii="Arial Narrow" w:hAnsi="Arial Narrow"/>
          <w:sz w:val="22"/>
        </w:rPr>
      </w:pPr>
      <w:r w:rsidRPr="00630D5C">
        <w:rPr>
          <w:rFonts w:ascii="Arial Narrow" w:hAnsi="Arial Narrow"/>
          <w:sz w:val="22"/>
        </w:rPr>
        <w:t xml:space="preserve">The Land Bank of Indianapolis will </w:t>
      </w:r>
      <w:r w:rsidR="00E66393" w:rsidRPr="00630D5C">
        <w:rPr>
          <w:rFonts w:ascii="Arial Narrow" w:hAnsi="Arial Narrow"/>
          <w:sz w:val="22"/>
        </w:rPr>
        <w:t xml:space="preserve">address other properties, as requested:  </w:t>
      </w:r>
    </w:p>
    <w:p w:rsidR="00E66393" w:rsidRPr="00630D5C" w:rsidRDefault="00E66393" w:rsidP="00E66393">
      <w:pPr>
        <w:pStyle w:val="ListParagraph"/>
        <w:rPr>
          <w:rFonts w:ascii="Arial Narrow" w:hAnsi="Arial Narrow"/>
          <w:sz w:val="22"/>
        </w:rPr>
      </w:pPr>
    </w:p>
    <w:p w:rsidR="00E66393" w:rsidRPr="00630D5C" w:rsidRDefault="00E66393" w:rsidP="00E66393">
      <w:pPr>
        <w:pStyle w:val="ListParagraph"/>
        <w:numPr>
          <w:ilvl w:val="2"/>
          <w:numId w:val="18"/>
        </w:numPr>
        <w:rPr>
          <w:rFonts w:ascii="Arial Narrow" w:hAnsi="Arial Narrow"/>
          <w:sz w:val="22"/>
        </w:rPr>
      </w:pPr>
      <w:r w:rsidRPr="00630D5C">
        <w:rPr>
          <w:rFonts w:ascii="Arial Narrow" w:hAnsi="Arial Narrow"/>
          <w:sz w:val="22"/>
        </w:rPr>
        <w:t>properties</w:t>
      </w:r>
      <w:r w:rsidR="00627D43" w:rsidRPr="00630D5C">
        <w:rPr>
          <w:rFonts w:ascii="Arial Narrow" w:hAnsi="Arial Narrow"/>
          <w:sz w:val="22"/>
        </w:rPr>
        <w:t xml:space="preserve"> in </w:t>
      </w:r>
      <w:r w:rsidR="00627D43" w:rsidRPr="00630D5C">
        <w:rPr>
          <w:rFonts w:ascii="Arial Narrow" w:hAnsi="Arial Narrow"/>
          <w:b/>
          <w:sz w:val="22"/>
        </w:rPr>
        <w:t>neighborhoods that are not served by a CDC or nonprofit housing development entity</w:t>
      </w:r>
      <w:r w:rsidR="00627D43" w:rsidRPr="00630D5C">
        <w:rPr>
          <w:rFonts w:ascii="Arial Narrow" w:hAnsi="Arial Narrow"/>
          <w:sz w:val="22"/>
        </w:rPr>
        <w:t xml:space="preserve"> – a serious void in the current legal structure and practice o</w:t>
      </w:r>
      <w:r w:rsidRPr="00630D5C">
        <w:rPr>
          <w:rFonts w:ascii="Arial Narrow" w:hAnsi="Arial Narrow"/>
          <w:sz w:val="22"/>
        </w:rPr>
        <w:t>f land banking in Marion County;</w:t>
      </w:r>
    </w:p>
    <w:p w:rsidR="00E66393" w:rsidRPr="00630D5C" w:rsidRDefault="00E66393" w:rsidP="00E66393">
      <w:pPr>
        <w:pStyle w:val="ListParagraph"/>
        <w:ind w:left="1800"/>
        <w:rPr>
          <w:rFonts w:ascii="Arial Narrow" w:hAnsi="Arial Narrow"/>
          <w:sz w:val="22"/>
        </w:rPr>
      </w:pPr>
    </w:p>
    <w:p w:rsidR="00630D5C" w:rsidRPr="00630D5C" w:rsidRDefault="00E66393" w:rsidP="00E66393">
      <w:pPr>
        <w:pStyle w:val="ListParagraph"/>
        <w:numPr>
          <w:ilvl w:val="2"/>
          <w:numId w:val="18"/>
        </w:numPr>
        <w:rPr>
          <w:rFonts w:ascii="Arial Narrow" w:hAnsi="Arial Narrow"/>
          <w:sz w:val="22"/>
        </w:rPr>
      </w:pPr>
      <w:r w:rsidRPr="00630D5C">
        <w:rPr>
          <w:rFonts w:ascii="Arial Narrow" w:hAnsi="Arial Narrow"/>
          <w:b/>
          <w:sz w:val="22"/>
        </w:rPr>
        <w:t>brownfields</w:t>
      </w:r>
      <w:r w:rsidRPr="00630D5C">
        <w:rPr>
          <w:rFonts w:ascii="Arial Narrow" w:hAnsi="Arial Narrow"/>
          <w:sz w:val="22"/>
        </w:rPr>
        <w:t xml:space="preserve"> – the Land Bank of Indianapolis will work with the City of Indianapolis’ brownfields coordinator who </w:t>
      </w:r>
      <w:r w:rsidR="00630D5C" w:rsidRPr="00630D5C">
        <w:rPr>
          <w:rFonts w:ascii="Arial Narrow" w:hAnsi="Arial Narrow"/>
          <w:sz w:val="22"/>
        </w:rPr>
        <w:t>manages the following [PROVIDE CH’S NUMBERS HERE]</w:t>
      </w:r>
    </w:p>
    <w:p w:rsidR="00630D5C" w:rsidRPr="00630D5C" w:rsidRDefault="00630D5C" w:rsidP="00630D5C">
      <w:pPr>
        <w:rPr>
          <w:rFonts w:ascii="Arial Narrow" w:hAnsi="Arial Narrow"/>
          <w:sz w:val="22"/>
        </w:rPr>
      </w:pPr>
    </w:p>
    <w:p w:rsidR="00627D43" w:rsidRPr="00630D5C" w:rsidRDefault="00630D5C" w:rsidP="00630D5C">
      <w:pPr>
        <w:pStyle w:val="ListParagraph"/>
        <w:numPr>
          <w:ilvl w:val="2"/>
          <w:numId w:val="18"/>
        </w:numPr>
        <w:rPr>
          <w:rFonts w:ascii="Arial Narrow" w:hAnsi="Arial Narrow"/>
          <w:sz w:val="22"/>
        </w:rPr>
      </w:pPr>
      <w:r w:rsidRPr="00630D5C">
        <w:rPr>
          <w:rFonts w:ascii="Arial Narrow" w:hAnsi="Arial Narrow"/>
          <w:sz w:val="22"/>
        </w:rPr>
        <w:lastRenderedPageBreak/>
        <w:t xml:space="preserve">properties that need to be secured to </w:t>
      </w:r>
      <w:r w:rsidRPr="00630D5C">
        <w:rPr>
          <w:rFonts w:ascii="Arial Narrow" w:hAnsi="Arial Narrow"/>
          <w:b/>
          <w:sz w:val="22"/>
        </w:rPr>
        <w:t>support the City’s redevelopment objectives</w:t>
      </w:r>
      <w:r w:rsidRPr="00630D5C">
        <w:rPr>
          <w:rFonts w:ascii="Arial Narrow" w:hAnsi="Arial Narrow"/>
          <w:sz w:val="22"/>
        </w:rPr>
        <w:t xml:space="preserve"> – for instance, properties that will need to be secured to support regional transit planning and implementation.</w:t>
      </w:r>
    </w:p>
    <w:p w:rsidR="00FD164E" w:rsidRPr="00630D5C" w:rsidRDefault="00FD164E" w:rsidP="00630D5C">
      <w:pPr>
        <w:rPr>
          <w:rFonts w:ascii="Arial Narrow" w:hAnsi="Arial Narrow"/>
          <w:sz w:val="22"/>
        </w:rPr>
      </w:pPr>
    </w:p>
    <w:p w:rsidR="00DC4B22" w:rsidRPr="00630D5C" w:rsidRDefault="00DC4B22" w:rsidP="00DC4B22">
      <w:pPr>
        <w:pStyle w:val="ListParagraph"/>
        <w:rPr>
          <w:rFonts w:ascii="Arial Narrow" w:hAnsi="Arial Narrow"/>
          <w:sz w:val="22"/>
        </w:rPr>
      </w:pPr>
    </w:p>
    <w:p w:rsidR="00FD164E" w:rsidRPr="00630D5C" w:rsidRDefault="00DC4B22" w:rsidP="00630D5C">
      <w:pPr>
        <w:pStyle w:val="ListParagraph"/>
        <w:numPr>
          <w:ilvl w:val="0"/>
          <w:numId w:val="1"/>
        </w:numPr>
        <w:rPr>
          <w:rFonts w:ascii="Arial Narrow" w:hAnsi="Arial Narrow"/>
          <w:sz w:val="22"/>
        </w:rPr>
      </w:pPr>
      <w:r w:rsidRPr="00630D5C">
        <w:rPr>
          <w:rFonts w:ascii="Arial Narrow" w:hAnsi="Arial Narrow"/>
          <w:sz w:val="22"/>
        </w:rPr>
        <w:t xml:space="preserve">The Land Bank of Indianapolis will advise on and coordinate the proposal of </w:t>
      </w:r>
      <w:r w:rsidRPr="00630D5C">
        <w:rPr>
          <w:rFonts w:ascii="Arial Narrow" w:hAnsi="Arial Narrow"/>
          <w:b/>
          <w:sz w:val="22"/>
        </w:rPr>
        <w:t xml:space="preserve">amendments to </w:t>
      </w:r>
      <w:r w:rsidR="00FD164E" w:rsidRPr="00630D5C">
        <w:rPr>
          <w:rFonts w:ascii="Arial Narrow" w:hAnsi="Arial Narrow"/>
          <w:b/>
          <w:sz w:val="22"/>
        </w:rPr>
        <w:t>Indiana statutes</w:t>
      </w:r>
      <w:r w:rsidRPr="00630D5C">
        <w:rPr>
          <w:rFonts w:ascii="Arial Narrow" w:hAnsi="Arial Narrow"/>
          <w:b/>
          <w:sz w:val="22"/>
        </w:rPr>
        <w:t xml:space="preserve"> tha</w:t>
      </w:r>
      <w:r w:rsidR="00FD164E" w:rsidRPr="00630D5C">
        <w:rPr>
          <w:rFonts w:ascii="Arial Narrow" w:hAnsi="Arial Narrow"/>
          <w:b/>
          <w:sz w:val="22"/>
        </w:rPr>
        <w:t xml:space="preserve">t are necessary to improve land </w:t>
      </w:r>
      <w:r w:rsidRPr="00630D5C">
        <w:rPr>
          <w:rFonts w:ascii="Arial Narrow" w:hAnsi="Arial Narrow"/>
          <w:b/>
          <w:sz w:val="22"/>
        </w:rPr>
        <w:t>banking functions in Marion County</w:t>
      </w:r>
      <w:r w:rsidRPr="00630D5C">
        <w:rPr>
          <w:rFonts w:ascii="Arial Narrow" w:hAnsi="Arial Narrow"/>
          <w:sz w:val="22"/>
        </w:rPr>
        <w:t xml:space="preserve"> and throughout the state.</w:t>
      </w:r>
    </w:p>
    <w:p w:rsidR="008B71E5" w:rsidRDefault="008B71E5" w:rsidP="00FD164E">
      <w:pPr>
        <w:pStyle w:val="ListParagraph"/>
        <w:rPr>
          <w:rFonts w:ascii="Arial Narrow" w:hAnsi="Arial Narrow"/>
        </w:rPr>
      </w:pPr>
    </w:p>
    <w:p w:rsidR="006516C8" w:rsidRPr="00FD164E" w:rsidRDefault="006516C8" w:rsidP="00FD164E">
      <w:pPr>
        <w:pStyle w:val="ListParagraph"/>
        <w:rPr>
          <w:rFonts w:ascii="Arial Narrow" w:hAnsi="Arial Narrow"/>
        </w:rPr>
      </w:pPr>
    </w:p>
    <w:p w:rsidR="006516C8" w:rsidRPr="006516C8" w:rsidRDefault="006516C8">
      <w:pPr>
        <w:rPr>
          <w:rFonts w:ascii="Abadi MT Condensed Light" w:hAnsi="Abadi MT Condensed Light"/>
        </w:rPr>
      </w:pPr>
    </w:p>
    <w:sectPr w:rsidR="006516C8" w:rsidRPr="006516C8" w:rsidSect="0007774D">
      <w:pgSz w:w="15840" w:h="12240" w:orient="landscape"/>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Futura">
    <w:altName w:val="Lucida Sans Unicode"/>
    <w:charset w:val="00"/>
    <w:family w:val="auto"/>
    <w:pitch w:val="variable"/>
    <w:sig w:usb0="00000003" w:usb1="00000000" w:usb2="00000000" w:usb3="00000000" w:csb0="00000001" w:csb1="00000000"/>
  </w:font>
  <w:font w:name="Abadi MT Condensed Light">
    <w:altName w:val="MV Bol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457"/>
    <w:multiLevelType w:val="hybridMultilevel"/>
    <w:tmpl w:val="78467CFC"/>
    <w:lvl w:ilvl="0" w:tplc="2D1CD3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901582"/>
    <w:multiLevelType w:val="multilevel"/>
    <w:tmpl w:val="8542B392"/>
    <w:lvl w:ilvl="0">
      <w:start w:val="1"/>
      <w:numFmt w:val="decimalZero"/>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0F83C17"/>
    <w:multiLevelType w:val="hybridMultilevel"/>
    <w:tmpl w:val="28A47084"/>
    <w:lvl w:ilvl="0" w:tplc="000F0409">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nsid w:val="13012F29"/>
    <w:multiLevelType w:val="multilevel"/>
    <w:tmpl w:val="4748F572"/>
    <w:lvl w:ilvl="0">
      <w:start w:val="1"/>
      <w:numFmt w:val="decimalZero"/>
      <w:lvlText w:val="%1"/>
      <w:lvlJc w:val="left"/>
      <w:pPr>
        <w:ind w:left="576" w:hanging="576"/>
      </w:pPr>
      <w:rPr>
        <w:rFonts w:hint="default"/>
      </w:rPr>
    </w:lvl>
    <w:lvl w:ilvl="1">
      <w:start w:val="1"/>
      <w:numFmt w:val="lowerLetter"/>
      <w:lvlText w:val="%2."/>
      <w:lvlJc w:val="left"/>
      <w:pPr>
        <w:ind w:left="-432" w:hanging="360"/>
      </w:pPr>
    </w:lvl>
    <w:lvl w:ilvl="2">
      <w:start w:val="1"/>
      <w:numFmt w:val="lowerRoman"/>
      <w:lvlText w:val="%3."/>
      <w:lvlJc w:val="right"/>
      <w:pPr>
        <w:ind w:left="288" w:hanging="180"/>
      </w:pPr>
    </w:lvl>
    <w:lvl w:ilvl="3">
      <w:start w:val="1"/>
      <w:numFmt w:val="decimal"/>
      <w:lvlText w:val="%4."/>
      <w:lvlJc w:val="left"/>
      <w:pPr>
        <w:ind w:left="1008" w:hanging="360"/>
      </w:pPr>
    </w:lvl>
    <w:lvl w:ilvl="4">
      <w:start w:val="1"/>
      <w:numFmt w:val="lowerLetter"/>
      <w:lvlText w:val="%5."/>
      <w:lvlJc w:val="left"/>
      <w:pPr>
        <w:ind w:left="1728" w:hanging="360"/>
      </w:pPr>
    </w:lvl>
    <w:lvl w:ilvl="5">
      <w:start w:val="1"/>
      <w:numFmt w:val="lowerRoman"/>
      <w:lvlText w:val="%6."/>
      <w:lvlJc w:val="right"/>
      <w:pPr>
        <w:ind w:left="2448" w:hanging="180"/>
      </w:pPr>
    </w:lvl>
    <w:lvl w:ilvl="6">
      <w:start w:val="1"/>
      <w:numFmt w:val="decimal"/>
      <w:lvlText w:val="%7."/>
      <w:lvlJc w:val="left"/>
      <w:pPr>
        <w:ind w:left="3168" w:hanging="360"/>
      </w:pPr>
    </w:lvl>
    <w:lvl w:ilvl="7">
      <w:start w:val="1"/>
      <w:numFmt w:val="lowerLetter"/>
      <w:lvlText w:val="%8."/>
      <w:lvlJc w:val="left"/>
      <w:pPr>
        <w:ind w:left="3888" w:hanging="360"/>
      </w:pPr>
    </w:lvl>
    <w:lvl w:ilvl="8">
      <w:start w:val="1"/>
      <w:numFmt w:val="lowerRoman"/>
      <w:lvlText w:val="%9."/>
      <w:lvlJc w:val="right"/>
      <w:pPr>
        <w:ind w:left="4608" w:hanging="180"/>
      </w:pPr>
    </w:lvl>
  </w:abstractNum>
  <w:abstractNum w:abstractNumId="4">
    <w:nsid w:val="140833DA"/>
    <w:multiLevelType w:val="hybridMultilevel"/>
    <w:tmpl w:val="BBD8C8B4"/>
    <w:lvl w:ilvl="0" w:tplc="34AE5D6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52EE5"/>
    <w:multiLevelType w:val="hybridMultilevel"/>
    <w:tmpl w:val="90B4BFA2"/>
    <w:lvl w:ilvl="0" w:tplc="34AE5D6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F187C"/>
    <w:multiLevelType w:val="hybridMultilevel"/>
    <w:tmpl w:val="12FCCE2E"/>
    <w:lvl w:ilvl="0" w:tplc="04090003">
      <w:start w:val="1"/>
      <w:numFmt w:val="bullet"/>
      <w:lvlText w:val="►"/>
      <w:lvlJc w:val="left"/>
      <w:pPr>
        <w:ind w:left="2232" w:hanging="360"/>
      </w:pPr>
      <w:rPr>
        <w:rFonts w:ascii="Arial" w:hAnsi="Arial" w:hint="default"/>
        <w:sz w:val="18"/>
      </w:rPr>
    </w:lvl>
    <w:lvl w:ilvl="1" w:tplc="04090003" w:tentative="1">
      <w:start w:val="1"/>
      <w:numFmt w:val="bullet"/>
      <w:lvlText w:val="o"/>
      <w:lvlJc w:val="left"/>
      <w:pPr>
        <w:ind w:left="2952" w:hanging="360"/>
      </w:pPr>
      <w:rPr>
        <w:rFonts w:ascii="Courier New" w:hAnsi="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7">
    <w:nsid w:val="2895127A"/>
    <w:multiLevelType w:val="multilevel"/>
    <w:tmpl w:val="AD88EE02"/>
    <w:lvl w:ilvl="0">
      <w:start w:val="1"/>
      <w:numFmt w:val="decimalZero"/>
      <w:lvlText w:val="%1."/>
      <w:lvlJc w:val="left"/>
      <w:pPr>
        <w:ind w:left="360" w:hanging="360"/>
      </w:pPr>
      <w:rPr>
        <w:rFonts w:hint="default"/>
      </w:rPr>
    </w:lvl>
    <w:lvl w:ilvl="1">
      <w:start w:val="1"/>
      <w:numFmt w:val="lowerLetter"/>
      <w:lvlText w:val="%2."/>
      <w:lvlJc w:val="left"/>
      <w:pPr>
        <w:ind w:left="-432" w:hanging="360"/>
      </w:pPr>
    </w:lvl>
    <w:lvl w:ilvl="2">
      <w:start w:val="1"/>
      <w:numFmt w:val="lowerRoman"/>
      <w:lvlText w:val="%3."/>
      <w:lvlJc w:val="right"/>
      <w:pPr>
        <w:ind w:left="288" w:hanging="180"/>
      </w:pPr>
    </w:lvl>
    <w:lvl w:ilvl="3">
      <w:start w:val="1"/>
      <w:numFmt w:val="decimal"/>
      <w:lvlText w:val="%4."/>
      <w:lvlJc w:val="left"/>
      <w:pPr>
        <w:ind w:left="1008" w:hanging="360"/>
      </w:pPr>
    </w:lvl>
    <w:lvl w:ilvl="4">
      <w:start w:val="1"/>
      <w:numFmt w:val="lowerLetter"/>
      <w:lvlText w:val="%5."/>
      <w:lvlJc w:val="left"/>
      <w:pPr>
        <w:ind w:left="1728" w:hanging="360"/>
      </w:pPr>
    </w:lvl>
    <w:lvl w:ilvl="5">
      <w:start w:val="1"/>
      <w:numFmt w:val="lowerRoman"/>
      <w:lvlText w:val="%6."/>
      <w:lvlJc w:val="right"/>
      <w:pPr>
        <w:ind w:left="2448" w:hanging="180"/>
      </w:pPr>
    </w:lvl>
    <w:lvl w:ilvl="6">
      <w:start w:val="1"/>
      <w:numFmt w:val="decimal"/>
      <w:lvlText w:val="%7."/>
      <w:lvlJc w:val="left"/>
      <w:pPr>
        <w:ind w:left="3168" w:hanging="360"/>
      </w:pPr>
    </w:lvl>
    <w:lvl w:ilvl="7">
      <w:start w:val="1"/>
      <w:numFmt w:val="lowerLetter"/>
      <w:lvlText w:val="%8."/>
      <w:lvlJc w:val="left"/>
      <w:pPr>
        <w:ind w:left="3888" w:hanging="360"/>
      </w:pPr>
    </w:lvl>
    <w:lvl w:ilvl="8">
      <w:start w:val="1"/>
      <w:numFmt w:val="lowerRoman"/>
      <w:lvlText w:val="%9."/>
      <w:lvlJc w:val="right"/>
      <w:pPr>
        <w:ind w:left="4608" w:hanging="180"/>
      </w:pPr>
    </w:lvl>
  </w:abstractNum>
  <w:abstractNum w:abstractNumId="8">
    <w:nsid w:val="33377606"/>
    <w:multiLevelType w:val="multilevel"/>
    <w:tmpl w:val="78467CF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358A1F09"/>
    <w:multiLevelType w:val="multilevel"/>
    <w:tmpl w:val="14D6A9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B26458"/>
    <w:multiLevelType w:val="hybridMultilevel"/>
    <w:tmpl w:val="4748F572"/>
    <w:lvl w:ilvl="0" w:tplc="F1E6CEDA">
      <w:start w:val="1"/>
      <w:numFmt w:val="decimalZero"/>
      <w:lvlText w:val="%1"/>
      <w:lvlJc w:val="left"/>
      <w:pPr>
        <w:ind w:left="576" w:hanging="576"/>
      </w:pPr>
      <w:rPr>
        <w:rFonts w:hint="default"/>
      </w:rPr>
    </w:lvl>
    <w:lvl w:ilvl="1" w:tplc="04090019" w:tentative="1">
      <w:start w:val="1"/>
      <w:numFmt w:val="lowerLetter"/>
      <w:lvlText w:val="%2."/>
      <w:lvlJc w:val="left"/>
      <w:pPr>
        <w:ind w:left="-432" w:hanging="360"/>
      </w:pPr>
    </w:lvl>
    <w:lvl w:ilvl="2" w:tplc="0409001B" w:tentative="1">
      <w:start w:val="1"/>
      <w:numFmt w:val="lowerRoman"/>
      <w:lvlText w:val="%3."/>
      <w:lvlJc w:val="right"/>
      <w:pPr>
        <w:ind w:left="288" w:hanging="180"/>
      </w:pPr>
    </w:lvl>
    <w:lvl w:ilvl="3" w:tplc="0409000F" w:tentative="1">
      <w:start w:val="1"/>
      <w:numFmt w:val="decimal"/>
      <w:lvlText w:val="%4."/>
      <w:lvlJc w:val="left"/>
      <w:pPr>
        <w:ind w:left="1008" w:hanging="360"/>
      </w:pPr>
    </w:lvl>
    <w:lvl w:ilvl="4" w:tplc="04090019" w:tentative="1">
      <w:start w:val="1"/>
      <w:numFmt w:val="lowerLetter"/>
      <w:lvlText w:val="%5."/>
      <w:lvlJc w:val="left"/>
      <w:pPr>
        <w:ind w:left="1728" w:hanging="360"/>
      </w:pPr>
    </w:lvl>
    <w:lvl w:ilvl="5" w:tplc="0409001B" w:tentative="1">
      <w:start w:val="1"/>
      <w:numFmt w:val="lowerRoman"/>
      <w:lvlText w:val="%6."/>
      <w:lvlJc w:val="right"/>
      <w:pPr>
        <w:ind w:left="2448" w:hanging="180"/>
      </w:pPr>
    </w:lvl>
    <w:lvl w:ilvl="6" w:tplc="0409000F" w:tentative="1">
      <w:start w:val="1"/>
      <w:numFmt w:val="decimal"/>
      <w:lvlText w:val="%7."/>
      <w:lvlJc w:val="left"/>
      <w:pPr>
        <w:ind w:left="3168" w:hanging="360"/>
      </w:pPr>
    </w:lvl>
    <w:lvl w:ilvl="7" w:tplc="04090019" w:tentative="1">
      <w:start w:val="1"/>
      <w:numFmt w:val="lowerLetter"/>
      <w:lvlText w:val="%8."/>
      <w:lvlJc w:val="left"/>
      <w:pPr>
        <w:ind w:left="3888" w:hanging="360"/>
      </w:pPr>
    </w:lvl>
    <w:lvl w:ilvl="8" w:tplc="0409001B" w:tentative="1">
      <w:start w:val="1"/>
      <w:numFmt w:val="lowerRoman"/>
      <w:lvlText w:val="%9."/>
      <w:lvlJc w:val="right"/>
      <w:pPr>
        <w:ind w:left="4608" w:hanging="180"/>
      </w:pPr>
    </w:lvl>
  </w:abstractNum>
  <w:abstractNum w:abstractNumId="11">
    <w:nsid w:val="39E958B8"/>
    <w:multiLevelType w:val="multilevel"/>
    <w:tmpl w:val="83A00F9A"/>
    <w:lvl w:ilvl="0">
      <w:start w:val="1"/>
      <w:numFmt w:val="decimalZero"/>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C0E1367"/>
    <w:multiLevelType w:val="hybridMultilevel"/>
    <w:tmpl w:val="FFEA483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C20F02"/>
    <w:multiLevelType w:val="hybridMultilevel"/>
    <w:tmpl w:val="E8CC9480"/>
    <w:lvl w:ilvl="0" w:tplc="F1E6CEDA">
      <w:start w:val="1"/>
      <w:numFmt w:val="decimalZero"/>
      <w:lvlText w:val="%1"/>
      <w:lvlJc w:val="left"/>
      <w:pPr>
        <w:ind w:left="1872" w:hanging="576"/>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4">
    <w:nsid w:val="4F361A5C"/>
    <w:multiLevelType w:val="hybridMultilevel"/>
    <w:tmpl w:val="D188DF5C"/>
    <w:lvl w:ilvl="0" w:tplc="E26AB5B6">
      <w:start w:val="1"/>
      <w:numFmt w:val="lowerLetter"/>
      <w:lvlText w:val="%1."/>
      <w:lvlJc w:val="left"/>
      <w:pPr>
        <w:ind w:left="1800" w:hanging="360"/>
      </w:pPr>
      <w:rPr>
        <w:rFonts w:hint="default"/>
      </w:rPr>
    </w:lvl>
    <w:lvl w:ilvl="1" w:tplc="34AE5D68">
      <w:start w:val="1"/>
      <w:numFmt w:val="decimal"/>
      <w:lvlText w:val="%2."/>
      <w:lvlJc w:val="left"/>
      <w:pPr>
        <w:ind w:left="1800" w:hanging="360"/>
      </w:pPr>
      <w:rPr>
        <w:rFonts w:hint="default"/>
      </w:rPr>
    </w:lvl>
    <w:lvl w:ilvl="2" w:tplc="70FE3CC0">
      <w:start w:val="1"/>
      <w:numFmt w:val="decimal"/>
      <w:lvlText w:val="%3."/>
      <w:lvlJc w:val="left"/>
      <w:pPr>
        <w:ind w:left="180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F954B2B"/>
    <w:multiLevelType w:val="hybridMultilevel"/>
    <w:tmpl w:val="5F860B64"/>
    <w:lvl w:ilvl="0" w:tplc="4A38AC74">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6">
    <w:nsid w:val="54BC6E87"/>
    <w:multiLevelType w:val="hybridMultilevel"/>
    <w:tmpl w:val="E0EA09EA"/>
    <w:lvl w:ilvl="0" w:tplc="C1AEB3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99C7062"/>
    <w:multiLevelType w:val="multilevel"/>
    <w:tmpl w:val="B686B084"/>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nsid w:val="5B4B0C47"/>
    <w:multiLevelType w:val="hybridMultilevel"/>
    <w:tmpl w:val="B686B084"/>
    <w:lvl w:ilvl="0" w:tplc="A01CDC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61D36ED"/>
    <w:multiLevelType w:val="multilevel"/>
    <w:tmpl w:val="3E2EF3B8"/>
    <w:lvl w:ilvl="0">
      <w:start w:val="1"/>
      <w:numFmt w:val="lowerLetter"/>
      <w:lvlText w:val="%1."/>
      <w:lvlJc w:val="left"/>
      <w:pPr>
        <w:ind w:left="1800" w:hanging="360"/>
      </w:pPr>
      <w:rPr>
        <w:rFonts w:hint="default"/>
      </w:rPr>
    </w:lvl>
    <w:lvl w:ilvl="1">
      <w:start w:val="1"/>
      <w:numFmt w:val="lowerLetter"/>
      <w:lvlText w:val="%2."/>
      <w:lvlJc w:val="left"/>
      <w:pPr>
        <w:ind w:left="1800" w:hanging="360"/>
      </w:pPr>
    </w:lvl>
    <w:lvl w:ilvl="2">
      <w:start w:val="1"/>
      <w:numFmt w:val="decimal"/>
      <w:lvlText w:val="%3."/>
      <w:lvlJc w:val="left"/>
      <w:pPr>
        <w:ind w:left="3420" w:hanging="360"/>
      </w:pPr>
      <w:rPr>
        <w:rFonts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nsid w:val="71B46213"/>
    <w:multiLevelType w:val="hybridMultilevel"/>
    <w:tmpl w:val="6FBC217A"/>
    <w:lvl w:ilvl="0" w:tplc="F1E6CEDA">
      <w:start w:val="1"/>
      <w:numFmt w:val="decimalZero"/>
      <w:lvlText w:val="%1"/>
      <w:lvlJc w:val="left"/>
      <w:pPr>
        <w:ind w:left="576" w:hanging="5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EA2865"/>
    <w:multiLevelType w:val="hybridMultilevel"/>
    <w:tmpl w:val="B992CF54"/>
    <w:lvl w:ilvl="0" w:tplc="246CBD1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D11C55"/>
    <w:multiLevelType w:val="multilevel"/>
    <w:tmpl w:val="2A94FAC0"/>
    <w:lvl w:ilvl="0">
      <w:start w:val="1"/>
      <w:numFmt w:val="decimalZero"/>
      <w:lvlText w:val="%1"/>
      <w:lvlJc w:val="left"/>
      <w:pPr>
        <w:ind w:left="576" w:hanging="576"/>
      </w:pPr>
      <w:rPr>
        <w:rFonts w:hint="default"/>
      </w:rPr>
    </w:lvl>
    <w:lvl w:ilvl="1">
      <w:start w:val="1"/>
      <w:numFmt w:val="lowerLetter"/>
      <w:lvlText w:val="%2."/>
      <w:lvlJc w:val="left"/>
      <w:pPr>
        <w:ind w:left="-432" w:hanging="360"/>
      </w:pPr>
    </w:lvl>
    <w:lvl w:ilvl="2">
      <w:start w:val="1"/>
      <w:numFmt w:val="lowerRoman"/>
      <w:lvlText w:val="%3."/>
      <w:lvlJc w:val="right"/>
      <w:pPr>
        <w:ind w:left="288" w:hanging="180"/>
      </w:pPr>
    </w:lvl>
    <w:lvl w:ilvl="3">
      <w:start w:val="1"/>
      <w:numFmt w:val="decimal"/>
      <w:lvlText w:val="%4."/>
      <w:lvlJc w:val="left"/>
      <w:pPr>
        <w:ind w:left="1008" w:hanging="360"/>
      </w:pPr>
    </w:lvl>
    <w:lvl w:ilvl="4">
      <w:start w:val="1"/>
      <w:numFmt w:val="lowerLetter"/>
      <w:lvlText w:val="%5."/>
      <w:lvlJc w:val="left"/>
      <w:pPr>
        <w:ind w:left="1728" w:hanging="360"/>
      </w:pPr>
    </w:lvl>
    <w:lvl w:ilvl="5">
      <w:start w:val="1"/>
      <w:numFmt w:val="lowerRoman"/>
      <w:lvlText w:val="%6."/>
      <w:lvlJc w:val="right"/>
      <w:pPr>
        <w:ind w:left="2448" w:hanging="180"/>
      </w:pPr>
    </w:lvl>
    <w:lvl w:ilvl="6">
      <w:start w:val="1"/>
      <w:numFmt w:val="decimal"/>
      <w:lvlText w:val="%7."/>
      <w:lvlJc w:val="left"/>
      <w:pPr>
        <w:ind w:left="3168" w:hanging="360"/>
      </w:pPr>
    </w:lvl>
    <w:lvl w:ilvl="7">
      <w:start w:val="1"/>
      <w:numFmt w:val="lowerLetter"/>
      <w:lvlText w:val="%8."/>
      <w:lvlJc w:val="left"/>
      <w:pPr>
        <w:ind w:left="3888" w:hanging="360"/>
      </w:pPr>
    </w:lvl>
    <w:lvl w:ilvl="8">
      <w:start w:val="1"/>
      <w:numFmt w:val="lowerRoman"/>
      <w:lvlText w:val="%9."/>
      <w:lvlJc w:val="right"/>
      <w:pPr>
        <w:ind w:left="4608" w:hanging="180"/>
      </w:pPr>
    </w:lvl>
  </w:abstractNum>
  <w:abstractNum w:abstractNumId="23">
    <w:nsid w:val="765E44E2"/>
    <w:multiLevelType w:val="hybridMultilevel"/>
    <w:tmpl w:val="84C63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5E2630"/>
    <w:multiLevelType w:val="hybridMultilevel"/>
    <w:tmpl w:val="8542B392"/>
    <w:lvl w:ilvl="0" w:tplc="70E22BB6">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6"/>
  </w:num>
  <w:num w:numId="3">
    <w:abstractNumId w:val="12"/>
  </w:num>
  <w:num w:numId="4">
    <w:abstractNumId w:val="24"/>
  </w:num>
  <w:num w:numId="5">
    <w:abstractNumId w:val="11"/>
  </w:num>
  <w:num w:numId="6">
    <w:abstractNumId w:val="1"/>
  </w:num>
  <w:num w:numId="7">
    <w:abstractNumId w:val="13"/>
  </w:num>
  <w:num w:numId="8">
    <w:abstractNumId w:val="15"/>
  </w:num>
  <w:num w:numId="9">
    <w:abstractNumId w:val="6"/>
  </w:num>
  <w:num w:numId="10">
    <w:abstractNumId w:val="21"/>
  </w:num>
  <w:num w:numId="11">
    <w:abstractNumId w:val="10"/>
  </w:num>
  <w:num w:numId="12">
    <w:abstractNumId w:val="7"/>
  </w:num>
  <w:num w:numId="13">
    <w:abstractNumId w:val="22"/>
  </w:num>
  <w:num w:numId="14">
    <w:abstractNumId w:val="3"/>
  </w:num>
  <w:num w:numId="15">
    <w:abstractNumId w:val="20"/>
  </w:num>
  <w:num w:numId="16">
    <w:abstractNumId w:val="2"/>
  </w:num>
  <w:num w:numId="17">
    <w:abstractNumId w:val="0"/>
  </w:num>
  <w:num w:numId="18">
    <w:abstractNumId w:val="14"/>
  </w:num>
  <w:num w:numId="19">
    <w:abstractNumId w:val="18"/>
  </w:num>
  <w:num w:numId="20">
    <w:abstractNumId w:val="9"/>
  </w:num>
  <w:num w:numId="21">
    <w:abstractNumId w:val="19"/>
  </w:num>
  <w:num w:numId="22">
    <w:abstractNumId w:val="8"/>
  </w:num>
  <w:num w:numId="23">
    <w:abstractNumId w:val="4"/>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C8"/>
    <w:rsid w:val="00034788"/>
    <w:rsid w:val="0007774D"/>
    <w:rsid w:val="001053A8"/>
    <w:rsid w:val="002721F3"/>
    <w:rsid w:val="00286183"/>
    <w:rsid w:val="002A381F"/>
    <w:rsid w:val="004F26AF"/>
    <w:rsid w:val="0055292C"/>
    <w:rsid w:val="00627D43"/>
    <w:rsid w:val="00630D5C"/>
    <w:rsid w:val="006516C8"/>
    <w:rsid w:val="006658F5"/>
    <w:rsid w:val="008B71E5"/>
    <w:rsid w:val="008C6F14"/>
    <w:rsid w:val="008D27EC"/>
    <w:rsid w:val="00906CB8"/>
    <w:rsid w:val="00A77CFC"/>
    <w:rsid w:val="00AC212A"/>
    <w:rsid w:val="00C26F13"/>
    <w:rsid w:val="00C6533D"/>
    <w:rsid w:val="00D0041B"/>
    <w:rsid w:val="00DC34CA"/>
    <w:rsid w:val="00DC4B22"/>
    <w:rsid w:val="00DC5E57"/>
    <w:rsid w:val="00E1177F"/>
    <w:rsid w:val="00E66393"/>
    <w:rsid w:val="00EB301C"/>
    <w:rsid w:val="00F613D1"/>
    <w:rsid w:val="00FD16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D7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C8"/>
    <w:pPr>
      <w:ind w:left="720"/>
      <w:contextualSpacing/>
    </w:pPr>
  </w:style>
  <w:style w:type="table" w:styleId="TableGrid">
    <w:name w:val="Table Grid"/>
    <w:basedOn w:val="TableNormal"/>
    <w:uiPriority w:val="59"/>
    <w:rsid w:val="006658F5"/>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C26F13"/>
    <w:rPr>
      <w:rFonts w:ascii="Lucida Grande" w:hAnsi="Lucida Grande"/>
      <w:sz w:val="18"/>
      <w:szCs w:val="18"/>
    </w:rPr>
  </w:style>
  <w:style w:type="character" w:customStyle="1" w:styleId="BalloonTextChar">
    <w:name w:val="Balloon Text Char"/>
    <w:basedOn w:val="DefaultParagraphFont"/>
    <w:link w:val="BalloonText"/>
    <w:rsid w:val="00C26F13"/>
    <w:rPr>
      <w:rFonts w:ascii="Lucida Grande" w:hAnsi="Lucida Grande"/>
      <w:sz w:val="18"/>
      <w:szCs w:val="18"/>
    </w:rPr>
  </w:style>
  <w:style w:type="paragraph" w:styleId="Header">
    <w:name w:val="header"/>
    <w:basedOn w:val="Normal"/>
    <w:link w:val="HeaderChar"/>
    <w:rsid w:val="008B71E5"/>
    <w:pPr>
      <w:tabs>
        <w:tab w:val="center" w:pos="4320"/>
        <w:tab w:val="right" w:pos="8640"/>
      </w:tabs>
    </w:pPr>
  </w:style>
  <w:style w:type="character" w:customStyle="1" w:styleId="HeaderChar">
    <w:name w:val="Header Char"/>
    <w:basedOn w:val="DefaultParagraphFont"/>
    <w:link w:val="Header"/>
    <w:rsid w:val="008B71E5"/>
  </w:style>
  <w:style w:type="paragraph" w:styleId="Footer">
    <w:name w:val="footer"/>
    <w:basedOn w:val="Normal"/>
    <w:link w:val="FooterChar"/>
    <w:rsid w:val="008B71E5"/>
    <w:pPr>
      <w:tabs>
        <w:tab w:val="center" w:pos="4320"/>
        <w:tab w:val="right" w:pos="8640"/>
      </w:tabs>
    </w:pPr>
  </w:style>
  <w:style w:type="character" w:customStyle="1" w:styleId="FooterChar">
    <w:name w:val="Footer Char"/>
    <w:basedOn w:val="DefaultParagraphFont"/>
    <w:link w:val="Footer"/>
    <w:rsid w:val="008B71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D7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C8"/>
    <w:pPr>
      <w:ind w:left="720"/>
      <w:contextualSpacing/>
    </w:pPr>
  </w:style>
  <w:style w:type="table" w:styleId="TableGrid">
    <w:name w:val="Table Grid"/>
    <w:basedOn w:val="TableNormal"/>
    <w:uiPriority w:val="59"/>
    <w:rsid w:val="006658F5"/>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C26F13"/>
    <w:rPr>
      <w:rFonts w:ascii="Lucida Grande" w:hAnsi="Lucida Grande"/>
      <w:sz w:val="18"/>
      <w:szCs w:val="18"/>
    </w:rPr>
  </w:style>
  <w:style w:type="character" w:customStyle="1" w:styleId="BalloonTextChar">
    <w:name w:val="Balloon Text Char"/>
    <w:basedOn w:val="DefaultParagraphFont"/>
    <w:link w:val="BalloonText"/>
    <w:rsid w:val="00C26F13"/>
    <w:rPr>
      <w:rFonts w:ascii="Lucida Grande" w:hAnsi="Lucida Grande"/>
      <w:sz w:val="18"/>
      <w:szCs w:val="18"/>
    </w:rPr>
  </w:style>
  <w:style w:type="paragraph" w:styleId="Header">
    <w:name w:val="header"/>
    <w:basedOn w:val="Normal"/>
    <w:link w:val="HeaderChar"/>
    <w:rsid w:val="008B71E5"/>
    <w:pPr>
      <w:tabs>
        <w:tab w:val="center" w:pos="4320"/>
        <w:tab w:val="right" w:pos="8640"/>
      </w:tabs>
    </w:pPr>
  </w:style>
  <w:style w:type="character" w:customStyle="1" w:styleId="HeaderChar">
    <w:name w:val="Header Char"/>
    <w:basedOn w:val="DefaultParagraphFont"/>
    <w:link w:val="Header"/>
    <w:rsid w:val="008B71E5"/>
  </w:style>
  <w:style w:type="paragraph" w:styleId="Footer">
    <w:name w:val="footer"/>
    <w:basedOn w:val="Normal"/>
    <w:link w:val="FooterChar"/>
    <w:rsid w:val="008B71E5"/>
    <w:pPr>
      <w:tabs>
        <w:tab w:val="center" w:pos="4320"/>
        <w:tab w:val="right" w:pos="8640"/>
      </w:tabs>
    </w:pPr>
  </w:style>
  <w:style w:type="character" w:customStyle="1" w:styleId="FooterChar">
    <w:name w:val="Footer Char"/>
    <w:basedOn w:val="DefaultParagraphFont"/>
    <w:link w:val="Footer"/>
    <w:rsid w:val="008B7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Mind's Eye Company</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radice</dc:creator>
  <cp:lastModifiedBy>Tyson Domer</cp:lastModifiedBy>
  <cp:revision>2</cp:revision>
  <cp:lastPrinted>2010-10-30T16:45:00Z</cp:lastPrinted>
  <dcterms:created xsi:type="dcterms:W3CDTF">2010-11-03T20:10:00Z</dcterms:created>
  <dcterms:modified xsi:type="dcterms:W3CDTF">2010-11-03T20:10:00Z</dcterms:modified>
</cp:coreProperties>
</file>